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EF560E" w14:textId="73B238B1" w:rsidR="00EB5763" w:rsidRDefault="00EB5763" w:rsidP="000F61CC">
      <w:pPr>
        <w:wordWrap/>
        <w:spacing w:after="0" w:line="360" w:lineRule="auto"/>
        <w:rPr>
          <w:rFonts w:ascii="Palatino Linotype" w:hAnsi="Palatino Linotype" w:cs="Times New Roman"/>
          <w:b/>
          <w:color w:val="222222"/>
          <w:sz w:val="26"/>
          <w:szCs w:val="26"/>
          <w:u w:val="single"/>
          <w:shd w:val="clear" w:color="auto" w:fill="FFFFFF"/>
        </w:rPr>
      </w:pPr>
      <w:r>
        <w:rPr>
          <w:rFonts w:ascii="Palatino Linotype" w:hAnsi="Palatino Linotype" w:cs="Times New Roman" w:hint="eastAsia"/>
          <w:b/>
          <w:color w:val="222222"/>
          <w:sz w:val="26"/>
          <w:szCs w:val="26"/>
          <w:u w:val="single"/>
          <w:shd w:val="clear" w:color="auto" w:fill="FFFFFF"/>
        </w:rPr>
        <w:t>R</w:t>
      </w:r>
      <w:r>
        <w:rPr>
          <w:rFonts w:ascii="Palatino Linotype" w:hAnsi="Palatino Linotype" w:cs="Times New Roman"/>
          <w:b/>
          <w:color w:val="222222"/>
          <w:sz w:val="26"/>
          <w:szCs w:val="26"/>
          <w:u w:val="single"/>
          <w:shd w:val="clear" w:color="auto" w:fill="FFFFFF"/>
        </w:rPr>
        <w:t>eply to the comments of RC</w:t>
      </w:r>
      <w:r w:rsidR="00B179F9">
        <w:rPr>
          <w:rFonts w:ascii="Palatino Linotype" w:hAnsi="Palatino Linotype" w:cs="Times New Roman"/>
          <w:b/>
          <w:color w:val="222222"/>
          <w:sz w:val="26"/>
          <w:szCs w:val="26"/>
          <w:u w:val="single"/>
          <w:shd w:val="clear" w:color="auto" w:fill="FFFFFF"/>
        </w:rPr>
        <w:t>2</w:t>
      </w:r>
    </w:p>
    <w:p w14:paraId="53ED801D" w14:textId="6C45B110" w:rsidR="000F61CC" w:rsidRPr="0026226C" w:rsidRDefault="000F61CC" w:rsidP="000F61CC">
      <w:pPr>
        <w:wordWrap/>
        <w:spacing w:after="0" w:line="360" w:lineRule="auto"/>
        <w:rPr>
          <w:rFonts w:ascii="Palatino Linotype" w:hAnsi="Palatino Linotype" w:cs="Times New Roman"/>
          <w:b/>
          <w:color w:val="222222"/>
          <w:sz w:val="26"/>
          <w:szCs w:val="26"/>
          <w:u w:val="single"/>
          <w:shd w:val="clear" w:color="auto" w:fill="FFFFFF"/>
        </w:rPr>
      </w:pPr>
      <w:r w:rsidRPr="0026226C">
        <w:rPr>
          <w:rFonts w:ascii="Palatino Linotype" w:hAnsi="Palatino Linotype" w:cs="Times New Roman"/>
          <w:b/>
          <w:color w:val="222222"/>
          <w:sz w:val="26"/>
          <w:szCs w:val="26"/>
          <w:u w:val="single"/>
          <w:shd w:val="clear" w:color="auto" w:fill="FFFFFF"/>
        </w:rPr>
        <w:t>R</w:t>
      </w:r>
      <w:r w:rsidR="0026226C" w:rsidRPr="0026226C">
        <w:rPr>
          <w:rFonts w:ascii="Palatino Linotype" w:hAnsi="Palatino Linotype" w:cs="Times New Roman"/>
          <w:b/>
          <w:color w:val="222222"/>
          <w:sz w:val="26"/>
          <w:szCs w:val="26"/>
          <w:u w:val="single"/>
          <w:shd w:val="clear" w:color="auto" w:fill="FFFFFF"/>
        </w:rPr>
        <w:t>C</w:t>
      </w:r>
      <w:r w:rsidR="00B179F9">
        <w:rPr>
          <w:rFonts w:ascii="Palatino Linotype" w:hAnsi="Palatino Linotype" w:cs="Times New Roman"/>
          <w:b/>
          <w:color w:val="222222"/>
          <w:sz w:val="26"/>
          <w:szCs w:val="26"/>
          <w:u w:val="single"/>
          <w:shd w:val="clear" w:color="auto" w:fill="FFFFFF"/>
        </w:rPr>
        <w:t>2</w:t>
      </w:r>
      <w:r w:rsidRPr="0026226C">
        <w:rPr>
          <w:rFonts w:ascii="Palatino Linotype" w:hAnsi="Palatino Linotype" w:cs="Times New Roman"/>
          <w:b/>
          <w:color w:val="222222"/>
          <w:sz w:val="26"/>
          <w:szCs w:val="26"/>
          <w:u w:val="single"/>
          <w:shd w:val="clear" w:color="auto" w:fill="FFFFFF"/>
        </w:rPr>
        <w:t>:</w:t>
      </w:r>
      <w:r w:rsidR="0026226C" w:rsidRPr="0026226C">
        <w:rPr>
          <w:rFonts w:ascii="Palatino Linotype" w:hAnsi="Palatino Linotype" w:cs="Times New Roman"/>
          <w:b/>
          <w:color w:val="222222"/>
          <w:sz w:val="26"/>
          <w:szCs w:val="26"/>
          <w:u w:val="single"/>
          <w:shd w:val="clear" w:color="auto" w:fill="FFFFFF"/>
        </w:rPr>
        <w:t xml:space="preserve"> General comment</w:t>
      </w:r>
    </w:p>
    <w:p w14:paraId="412D3067" w14:textId="3B7391BB" w:rsidR="00223579" w:rsidRDefault="00223579" w:rsidP="00BD6F79">
      <w:pPr>
        <w:widowControl/>
        <w:wordWrap/>
        <w:autoSpaceDE/>
        <w:autoSpaceDN/>
        <w:rPr>
          <w:rFonts w:ascii="Palatino Linotype" w:eastAsia="굴림" w:hAnsi="Palatino Linotype" w:cs="Times New Roman"/>
          <w:color w:val="0A0A0A"/>
          <w:kern w:val="0"/>
          <w:sz w:val="24"/>
          <w:szCs w:val="24"/>
        </w:rPr>
      </w:pPr>
      <w:r w:rsidRPr="00223579">
        <w:rPr>
          <w:rFonts w:ascii="Palatino Linotype" w:eastAsia="굴림" w:hAnsi="Palatino Linotype" w:cs="Times New Roman"/>
          <w:color w:val="0A0A0A"/>
          <w:kern w:val="0"/>
          <w:sz w:val="24"/>
          <w:szCs w:val="24"/>
        </w:rPr>
        <w:t>The manuscript by Moon et al. presents the application of a recently developed hybrid (mass balance / 3D-Var / 4D-Var) inverse modeling scheme to constrain emissions of NO</w:t>
      </w:r>
      <w:r w:rsidRPr="00287BAA">
        <w:rPr>
          <w:rFonts w:ascii="Palatino Linotype" w:eastAsia="굴림" w:hAnsi="Palatino Linotype" w:cs="Times New Roman"/>
          <w:color w:val="0A0A0A"/>
          <w:kern w:val="0"/>
          <w:sz w:val="24"/>
          <w:szCs w:val="24"/>
          <w:vertAlign w:val="subscript"/>
        </w:rPr>
        <w:t>x</w:t>
      </w:r>
      <w:r w:rsidRPr="00223579">
        <w:rPr>
          <w:rFonts w:ascii="Palatino Linotype" w:eastAsia="굴림" w:hAnsi="Palatino Linotype" w:cs="Times New Roman"/>
          <w:color w:val="0A0A0A"/>
          <w:kern w:val="0"/>
          <w:sz w:val="24"/>
          <w:szCs w:val="24"/>
        </w:rPr>
        <w:t xml:space="preserve"> and VOC emissions in Korea.  The work is new and noteworthy, and includes an analysis of O</w:t>
      </w:r>
      <w:r w:rsidRPr="00287BAA">
        <w:rPr>
          <w:rFonts w:ascii="Palatino Linotype" w:eastAsia="굴림" w:hAnsi="Palatino Linotype" w:cs="Times New Roman"/>
          <w:color w:val="0A0A0A"/>
          <w:kern w:val="0"/>
          <w:sz w:val="24"/>
          <w:szCs w:val="24"/>
          <w:vertAlign w:val="subscript"/>
        </w:rPr>
        <w:t>3</w:t>
      </w:r>
      <w:r w:rsidRPr="00223579">
        <w:rPr>
          <w:rFonts w:ascii="Palatino Linotype" w:eastAsia="굴림" w:hAnsi="Palatino Linotype" w:cs="Times New Roman"/>
          <w:color w:val="0A0A0A"/>
          <w:kern w:val="0"/>
          <w:sz w:val="24"/>
          <w:szCs w:val="24"/>
        </w:rPr>
        <w:t xml:space="preserve"> regimes using adjoint sensitivities.  Some of the results, such as the agreement of the posterior simulations with satellite-based assessments of NO</w:t>
      </w:r>
      <w:r w:rsidRPr="00287BAA">
        <w:rPr>
          <w:rFonts w:ascii="Palatino Linotype" w:eastAsia="굴림" w:hAnsi="Palatino Linotype" w:cs="Times New Roman"/>
          <w:color w:val="0A0A0A"/>
          <w:kern w:val="0"/>
          <w:sz w:val="24"/>
          <w:szCs w:val="24"/>
          <w:vertAlign w:val="subscript"/>
        </w:rPr>
        <w:t>x</w:t>
      </w:r>
      <w:r w:rsidRPr="00223579">
        <w:rPr>
          <w:rFonts w:ascii="Palatino Linotype" w:eastAsia="굴림" w:hAnsi="Palatino Linotype" w:cs="Times New Roman"/>
          <w:color w:val="0A0A0A"/>
          <w:kern w:val="0"/>
          <w:sz w:val="24"/>
          <w:szCs w:val="24"/>
        </w:rPr>
        <w:t xml:space="preserve"> vs VOC limited regimes, are really quite impressive.</w:t>
      </w:r>
    </w:p>
    <w:p w14:paraId="3C531A5E" w14:textId="0D2765A8" w:rsidR="00741F72" w:rsidRPr="00223579" w:rsidRDefault="00223579" w:rsidP="00BD6F79">
      <w:pPr>
        <w:widowControl/>
        <w:wordWrap/>
        <w:autoSpaceDE/>
        <w:autoSpaceDN/>
        <w:rPr>
          <w:rFonts w:ascii="Palatino Linotype" w:eastAsia="굴림" w:hAnsi="Palatino Linotype" w:cs="Times New Roman"/>
          <w:color w:val="0A0A0A"/>
          <w:kern w:val="0"/>
          <w:sz w:val="24"/>
          <w:szCs w:val="24"/>
        </w:rPr>
      </w:pPr>
      <w:r w:rsidRPr="00223579">
        <w:rPr>
          <w:rFonts w:ascii="Palatino Linotype" w:eastAsia="굴림" w:hAnsi="Palatino Linotype" w:cs="Times New Roman"/>
          <w:color w:val="0A0A0A"/>
          <w:kern w:val="0"/>
          <w:sz w:val="24"/>
          <w:szCs w:val="24"/>
        </w:rPr>
        <w:t>The inversion itself could use a bit more evaluation, given that there aren’t any independent measurements of NO</w:t>
      </w:r>
      <w:r w:rsidRPr="00287BAA">
        <w:rPr>
          <w:rFonts w:ascii="Palatino Linotype" w:eastAsia="굴림" w:hAnsi="Palatino Linotype" w:cs="Times New Roman"/>
          <w:color w:val="0A0A0A"/>
          <w:kern w:val="0"/>
          <w:sz w:val="24"/>
          <w:szCs w:val="24"/>
          <w:vertAlign w:val="subscript"/>
        </w:rPr>
        <w:t>2</w:t>
      </w:r>
      <w:r w:rsidRPr="00223579">
        <w:rPr>
          <w:rFonts w:ascii="Palatino Linotype" w:eastAsia="굴림" w:hAnsi="Palatino Linotype" w:cs="Times New Roman"/>
          <w:color w:val="0A0A0A"/>
          <w:kern w:val="0"/>
          <w:sz w:val="24"/>
          <w:szCs w:val="24"/>
        </w:rPr>
        <w:t xml:space="preserve"> or O</w:t>
      </w:r>
      <w:r w:rsidRPr="00287BAA">
        <w:rPr>
          <w:rFonts w:ascii="Palatino Linotype" w:eastAsia="굴림" w:hAnsi="Palatino Linotype" w:cs="Times New Roman"/>
          <w:color w:val="0A0A0A"/>
          <w:kern w:val="0"/>
          <w:sz w:val="24"/>
          <w:szCs w:val="24"/>
          <w:vertAlign w:val="subscript"/>
        </w:rPr>
        <w:t>3</w:t>
      </w:r>
      <w:r w:rsidRPr="00223579">
        <w:rPr>
          <w:rFonts w:ascii="Palatino Linotype" w:eastAsia="굴림" w:hAnsi="Palatino Linotype" w:cs="Times New Roman"/>
          <w:color w:val="0A0A0A"/>
          <w:kern w:val="0"/>
          <w:sz w:val="24"/>
          <w:szCs w:val="24"/>
        </w:rPr>
        <w:t xml:space="preserve"> used, and the VOC assessment is limited to 5 Pandora sites. Meanwhile, the posterior simulation shows dramatic BVOC emission increases throughout the country that aren’t really evaluated —</w:t>
      </w:r>
      <w:r w:rsidR="00FF7D80">
        <w:rPr>
          <w:rFonts w:ascii="Palatino Linotype" w:eastAsia="굴림" w:hAnsi="Palatino Linotype" w:cs="Times New Roman"/>
          <w:color w:val="0A0A0A"/>
          <w:kern w:val="0"/>
          <w:sz w:val="24"/>
          <w:szCs w:val="24"/>
        </w:rPr>
        <w:t xml:space="preserve"> </w:t>
      </w:r>
      <w:r w:rsidRPr="00223579">
        <w:rPr>
          <w:rFonts w:ascii="Palatino Linotype" w:eastAsia="굴림" w:hAnsi="Palatino Linotype" w:cs="Times New Roman"/>
          <w:color w:val="0A0A0A"/>
          <w:kern w:val="0"/>
          <w:sz w:val="24"/>
          <w:szCs w:val="24"/>
        </w:rPr>
        <w:t>checking isoprene levels would seem to be an essential step here.</w:t>
      </w:r>
      <w:r w:rsidR="00FF7D80">
        <w:rPr>
          <w:rFonts w:ascii="Palatino Linotype" w:eastAsia="굴림" w:hAnsi="Palatino Linotype" w:cs="Times New Roman"/>
          <w:color w:val="0A0A0A"/>
          <w:kern w:val="0"/>
          <w:sz w:val="24"/>
          <w:szCs w:val="24"/>
        </w:rPr>
        <w:t xml:space="preserve"> </w:t>
      </w:r>
      <w:r w:rsidRPr="00223579">
        <w:rPr>
          <w:rFonts w:ascii="Palatino Linotype" w:eastAsia="굴림" w:hAnsi="Palatino Linotype" w:cs="Times New Roman"/>
          <w:color w:val="0A0A0A"/>
          <w:kern w:val="0"/>
          <w:sz w:val="24"/>
          <w:szCs w:val="24"/>
        </w:rPr>
        <w:t xml:space="preserve">These and some other </w:t>
      </w:r>
      <w:proofErr w:type="gramStart"/>
      <w:r w:rsidRPr="00223579">
        <w:rPr>
          <w:rFonts w:ascii="Palatino Linotype" w:eastAsia="굴림" w:hAnsi="Palatino Linotype" w:cs="Times New Roman"/>
          <w:color w:val="0A0A0A"/>
          <w:kern w:val="0"/>
          <w:sz w:val="24"/>
          <w:szCs w:val="24"/>
        </w:rPr>
        <w:t>issue</w:t>
      </w:r>
      <w:proofErr w:type="gramEnd"/>
      <w:r w:rsidRPr="00223579">
        <w:rPr>
          <w:rFonts w:ascii="Palatino Linotype" w:eastAsia="굴림" w:hAnsi="Palatino Linotype" w:cs="Times New Roman"/>
          <w:color w:val="0A0A0A"/>
          <w:kern w:val="0"/>
          <w:sz w:val="24"/>
          <w:szCs w:val="24"/>
        </w:rPr>
        <w:t xml:space="preserve"> are described in my comments below.</w:t>
      </w:r>
    </w:p>
    <w:p w14:paraId="181C93FD" w14:textId="77777777" w:rsidR="00AD16D5" w:rsidRDefault="00AD16D5" w:rsidP="00AD16D5">
      <w:pPr>
        <w:wordWrap/>
        <w:spacing w:line="360" w:lineRule="auto"/>
        <w:ind w:firstLine="360"/>
        <w:rPr>
          <w:rFonts w:ascii="Palatino Linotype" w:eastAsia="굴림" w:hAnsi="Palatino Linotype" w:cs="Times New Roman"/>
          <w:color w:val="0A0A0A"/>
          <w:kern w:val="0"/>
          <w:sz w:val="24"/>
          <w:szCs w:val="24"/>
        </w:rPr>
      </w:pPr>
    </w:p>
    <w:p w14:paraId="200EDB44" w14:textId="6753B1A5" w:rsidR="00635E68" w:rsidRPr="006C18D4" w:rsidRDefault="0026226C" w:rsidP="006F32B1">
      <w:pPr>
        <w:wordWrap/>
        <w:spacing w:after="0" w:line="276" w:lineRule="auto"/>
        <w:rPr>
          <w:rFonts w:ascii="Palatino Linotype" w:eastAsia="맑은 고딕" w:hAnsi="Palatino Linotype" w:cs="Times New Roman"/>
          <w:color w:val="000000"/>
          <w:sz w:val="24"/>
          <w:szCs w:val="24"/>
          <w:shd w:val="clear" w:color="auto" w:fill="FFFFFF"/>
        </w:rPr>
      </w:pPr>
      <w:r w:rsidRPr="006C18D4">
        <w:rPr>
          <w:rFonts w:ascii="Palatino Linotype" w:hAnsi="Palatino Linotype" w:cs="Times New Roman"/>
          <w:b/>
          <w:bCs/>
          <w:color w:val="FF0000"/>
          <w:sz w:val="24"/>
          <w:szCs w:val="28"/>
          <w:shd w:val="clear" w:color="auto" w:fill="FFFFFF"/>
        </w:rPr>
        <w:t>Respon</w:t>
      </w:r>
      <w:r w:rsidR="00AD16D5" w:rsidRPr="006C18D4">
        <w:rPr>
          <w:rFonts w:ascii="Palatino Linotype" w:hAnsi="Palatino Linotype" w:cs="Times New Roman"/>
          <w:b/>
          <w:bCs/>
          <w:color w:val="FF0000"/>
          <w:sz w:val="24"/>
          <w:szCs w:val="28"/>
          <w:shd w:val="clear" w:color="auto" w:fill="FFFFFF"/>
        </w:rPr>
        <w:t>se</w:t>
      </w:r>
      <w:r w:rsidR="00AD16D5" w:rsidRPr="006C18D4">
        <w:rPr>
          <w:rFonts w:ascii="Palatino Linotype" w:hAnsi="Palatino Linotype" w:cs="Times New Roman"/>
          <w:sz w:val="24"/>
          <w:szCs w:val="28"/>
          <w:shd w:val="clear" w:color="auto" w:fill="FFFFFF"/>
        </w:rPr>
        <w:t xml:space="preserve">: </w:t>
      </w:r>
      <w:r w:rsidR="00CE073C" w:rsidRPr="006C18D4">
        <w:rPr>
          <w:rFonts w:ascii="Palatino Linotype" w:hAnsi="Palatino Linotype" w:cs="Times New Roman"/>
          <w:sz w:val="24"/>
          <w:szCs w:val="28"/>
          <w:shd w:val="clear" w:color="auto" w:fill="FFFFFF"/>
        </w:rPr>
        <w:t xml:space="preserve">We thank the reviewer for the constructive and helpful comments on our manuscript. We have revised the manuscript accordingly. Below, we provide point-by-point responses to each comment. Reviewers’ comments are shown in plain text, our responses are shown in bold, and revised manuscript text is shown in </w:t>
      </w:r>
      <w:r w:rsidR="00CE073C" w:rsidRPr="006C18D4">
        <w:rPr>
          <w:rFonts w:ascii="Palatino Linotype" w:hAnsi="Palatino Linotype" w:cs="Times New Roman"/>
          <w:i/>
          <w:iCs/>
          <w:sz w:val="24"/>
          <w:szCs w:val="28"/>
          <w:shd w:val="clear" w:color="auto" w:fill="FFFFFF"/>
        </w:rPr>
        <w:t>italics</w:t>
      </w:r>
      <w:r w:rsidR="00CE073C" w:rsidRPr="006C18D4">
        <w:rPr>
          <w:rFonts w:ascii="Palatino Linotype" w:hAnsi="Palatino Linotype" w:cs="Times New Roman"/>
          <w:sz w:val="24"/>
          <w:szCs w:val="28"/>
          <w:shd w:val="clear" w:color="auto" w:fill="FFFFFF"/>
        </w:rPr>
        <w:t>. Line numbers refer to the revised manuscript.</w:t>
      </w:r>
    </w:p>
    <w:p w14:paraId="7F72D54D" w14:textId="3BCD96C2" w:rsidR="001A5AEB" w:rsidRPr="006C18D4" w:rsidRDefault="001A5AEB">
      <w:pPr>
        <w:widowControl/>
        <w:wordWrap/>
        <w:autoSpaceDE/>
        <w:autoSpaceDN/>
        <w:rPr>
          <w:rFonts w:ascii="Palatino Linotype" w:eastAsia="굴림" w:hAnsi="Palatino Linotype" w:cs="Times New Roman"/>
          <w:color w:val="0A0A0A"/>
          <w:kern w:val="0"/>
          <w:sz w:val="24"/>
          <w:szCs w:val="24"/>
        </w:rPr>
      </w:pPr>
      <w:r w:rsidRPr="006C18D4">
        <w:rPr>
          <w:rFonts w:ascii="Palatino Linotype" w:eastAsia="굴림" w:hAnsi="Palatino Linotype" w:cs="Times New Roman"/>
          <w:color w:val="0A0A0A"/>
          <w:kern w:val="0"/>
          <w:sz w:val="24"/>
          <w:szCs w:val="24"/>
        </w:rPr>
        <w:br w:type="page"/>
      </w:r>
    </w:p>
    <w:p w14:paraId="5BB585EE" w14:textId="513A987A" w:rsidR="00FB0552" w:rsidRDefault="00D25834" w:rsidP="00FB0552">
      <w:pPr>
        <w:widowControl/>
        <w:wordWrap/>
        <w:autoSpaceDE/>
        <w:autoSpaceDN/>
        <w:spacing w:line="276" w:lineRule="auto"/>
        <w:rPr>
          <w:rFonts w:ascii="Palatino Linotype" w:eastAsia="굴림" w:hAnsi="Palatino Linotype" w:cs="Times New Roman"/>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sidR="00EB5763">
        <w:rPr>
          <w:rFonts w:ascii="Palatino Linotype" w:eastAsia="굴림" w:hAnsi="Palatino Linotype" w:cs="Times New Roman"/>
          <w:b/>
          <w:bCs/>
          <w:color w:val="0A0A0A"/>
          <w:kern w:val="0"/>
          <w:sz w:val="24"/>
          <w:szCs w:val="24"/>
        </w:rPr>
        <w:t xml:space="preserve"> 1</w:t>
      </w:r>
    </w:p>
    <w:p w14:paraId="732890EB" w14:textId="262E5D14" w:rsidR="00FB0552" w:rsidRPr="00FB0552" w:rsidRDefault="00FB0552" w:rsidP="00FB0552">
      <w:pPr>
        <w:widowControl/>
        <w:wordWrap/>
        <w:autoSpaceDE/>
        <w:autoSpaceDN/>
        <w:spacing w:line="276" w:lineRule="auto"/>
        <w:rPr>
          <w:rFonts w:ascii="Palatino Linotype" w:eastAsia="굴림" w:hAnsi="Palatino Linotype" w:cs="Times New Roman"/>
          <w:color w:val="0A0A0A"/>
          <w:kern w:val="0"/>
          <w:sz w:val="24"/>
          <w:szCs w:val="24"/>
        </w:rPr>
      </w:pPr>
      <w:r w:rsidRPr="00FB0552">
        <w:rPr>
          <w:rFonts w:ascii="Palatino Linotype" w:eastAsia="굴림" w:hAnsi="Palatino Linotype" w:cs="Times New Roman"/>
          <w:color w:val="0A0A0A"/>
          <w:kern w:val="0"/>
          <w:sz w:val="24"/>
          <w:szCs w:val="24"/>
        </w:rPr>
        <w:t xml:space="preserve">Section 2.3.1: </w:t>
      </w:r>
    </w:p>
    <w:p w14:paraId="5A5D2F6E" w14:textId="47B9F8A5" w:rsidR="00FB0552" w:rsidRPr="00FB0552" w:rsidRDefault="00FB0552" w:rsidP="00FB0552">
      <w:pPr>
        <w:widowControl/>
        <w:wordWrap/>
        <w:autoSpaceDE/>
        <w:autoSpaceDN/>
        <w:spacing w:line="276" w:lineRule="auto"/>
        <w:rPr>
          <w:rFonts w:ascii="Palatino Linotype" w:eastAsia="굴림" w:hAnsi="Palatino Linotype" w:cs="Times New Roman"/>
          <w:color w:val="0A0A0A"/>
          <w:kern w:val="0"/>
          <w:sz w:val="24"/>
          <w:szCs w:val="24"/>
        </w:rPr>
      </w:pPr>
      <w:r w:rsidRPr="00FB0552">
        <w:rPr>
          <w:rFonts w:ascii="Palatino Linotype" w:eastAsia="굴림" w:hAnsi="Palatino Linotype" w:cs="Times New Roman"/>
          <w:color w:val="0A0A0A"/>
          <w:kern w:val="0"/>
          <w:sz w:val="24"/>
          <w:szCs w:val="24"/>
        </w:rPr>
        <w:t>- Why apply FDMB to NO</w:t>
      </w:r>
      <w:r w:rsidRPr="00CD27EC">
        <w:rPr>
          <w:rFonts w:ascii="Palatino Linotype" w:eastAsia="굴림" w:hAnsi="Palatino Linotype" w:cs="Times New Roman"/>
          <w:color w:val="0A0A0A"/>
          <w:kern w:val="0"/>
          <w:sz w:val="24"/>
          <w:szCs w:val="24"/>
          <w:vertAlign w:val="subscript"/>
        </w:rPr>
        <w:t>x</w:t>
      </w:r>
      <w:r w:rsidRPr="00FB0552">
        <w:rPr>
          <w:rFonts w:ascii="Palatino Linotype" w:eastAsia="굴림" w:hAnsi="Palatino Linotype" w:cs="Times New Roman"/>
          <w:color w:val="0A0A0A"/>
          <w:kern w:val="0"/>
          <w:sz w:val="24"/>
          <w:szCs w:val="24"/>
        </w:rPr>
        <w:t xml:space="preserve"> and VOCs sequentially, rather than simultaneously, and iteratively? See </w:t>
      </w:r>
      <w:proofErr w:type="gramStart"/>
      <w:r w:rsidRPr="00FB0552">
        <w:rPr>
          <w:rFonts w:ascii="Palatino Linotype" w:eastAsia="굴림" w:hAnsi="Palatino Linotype" w:cs="Times New Roman"/>
          <w:color w:val="0A0A0A"/>
          <w:kern w:val="0"/>
          <w:sz w:val="24"/>
          <w:szCs w:val="24"/>
        </w:rPr>
        <w:t>e.g.</w:t>
      </w:r>
      <w:proofErr w:type="gramEnd"/>
      <w:r w:rsidRPr="00FB0552">
        <w:rPr>
          <w:rFonts w:ascii="Palatino Linotype" w:eastAsia="굴림" w:hAnsi="Palatino Linotype" w:cs="Times New Roman"/>
          <w:color w:val="0A0A0A"/>
          <w:kern w:val="0"/>
          <w:sz w:val="24"/>
          <w:szCs w:val="24"/>
        </w:rPr>
        <w:t xml:space="preserve"> Choi, J., D. K. </w:t>
      </w:r>
      <w:proofErr w:type="spellStart"/>
      <w:r w:rsidRPr="00FB0552">
        <w:rPr>
          <w:rFonts w:ascii="Palatino Linotype" w:eastAsia="굴림" w:hAnsi="Palatino Linotype" w:cs="Times New Roman"/>
          <w:color w:val="0A0A0A"/>
          <w:kern w:val="0"/>
          <w:sz w:val="24"/>
          <w:szCs w:val="24"/>
        </w:rPr>
        <w:t>Henze</w:t>
      </w:r>
      <w:proofErr w:type="spellEnd"/>
      <w:r w:rsidRPr="00FB0552">
        <w:rPr>
          <w:rFonts w:ascii="Palatino Linotype" w:eastAsia="굴림" w:hAnsi="Palatino Linotype" w:cs="Times New Roman"/>
          <w:color w:val="0A0A0A"/>
          <w:kern w:val="0"/>
          <w:sz w:val="24"/>
          <w:szCs w:val="24"/>
        </w:rPr>
        <w:t>, K. C. Wells, and D. B. Millet, Joint inversion of satellite-based isoprene and</w:t>
      </w:r>
      <w:r>
        <w:rPr>
          <w:rFonts w:ascii="Palatino Linotype" w:eastAsia="굴림" w:hAnsi="Palatino Linotype" w:cs="Times New Roman"/>
          <w:color w:val="0A0A0A"/>
          <w:kern w:val="0"/>
          <w:sz w:val="24"/>
          <w:szCs w:val="24"/>
        </w:rPr>
        <w:t xml:space="preserve"> </w:t>
      </w:r>
      <w:r w:rsidRPr="00FB0552">
        <w:rPr>
          <w:rFonts w:ascii="Palatino Linotype" w:eastAsia="굴림" w:hAnsi="Palatino Linotype" w:cs="Times New Roman"/>
          <w:color w:val="0A0A0A"/>
          <w:kern w:val="0"/>
          <w:sz w:val="24"/>
          <w:szCs w:val="24"/>
        </w:rPr>
        <w:t>formaldehyde observations to constrain emissions of non-methane volatile organic compounds, J. Geo-phys. Res., 130, 13, e2024JD042070, https://doi.org/10.1029/2024JD042070.</w:t>
      </w:r>
    </w:p>
    <w:p w14:paraId="22A40BBD" w14:textId="1EB3D603" w:rsidR="00FB0552" w:rsidRPr="00FB0552" w:rsidRDefault="00FB0552" w:rsidP="00FB0552">
      <w:pPr>
        <w:widowControl/>
        <w:wordWrap/>
        <w:autoSpaceDE/>
        <w:autoSpaceDN/>
        <w:spacing w:line="276" w:lineRule="auto"/>
        <w:rPr>
          <w:rFonts w:ascii="Palatino Linotype" w:eastAsia="굴림" w:hAnsi="Palatino Linotype" w:cs="Times New Roman"/>
          <w:color w:val="0A0A0A"/>
          <w:kern w:val="0"/>
          <w:sz w:val="24"/>
          <w:szCs w:val="24"/>
        </w:rPr>
      </w:pPr>
      <w:r w:rsidRPr="00FB0552">
        <w:rPr>
          <w:rFonts w:ascii="Palatino Linotype" w:eastAsia="굴림" w:hAnsi="Palatino Linotype" w:cs="Times New Roman"/>
          <w:color w:val="0A0A0A"/>
          <w:kern w:val="0"/>
          <w:sz w:val="24"/>
          <w:szCs w:val="24"/>
        </w:rPr>
        <w:t xml:space="preserve">- As noted above, why not iterate the FDMB, to minimize smearing and nonlinear errors and also </w:t>
      </w:r>
      <w:proofErr w:type="spellStart"/>
      <w:r w:rsidRPr="00FB0552">
        <w:rPr>
          <w:rFonts w:ascii="Palatino Linotype" w:eastAsia="굴림" w:hAnsi="Palatino Linotype" w:cs="Times New Roman"/>
          <w:color w:val="0A0A0A"/>
          <w:kern w:val="0"/>
          <w:sz w:val="24"/>
          <w:szCs w:val="24"/>
        </w:rPr>
        <w:t>pickup</w:t>
      </w:r>
      <w:proofErr w:type="spellEnd"/>
      <w:r w:rsidRPr="00FB0552">
        <w:rPr>
          <w:rFonts w:ascii="Palatino Linotype" w:eastAsia="굴림" w:hAnsi="Palatino Linotype" w:cs="Times New Roman"/>
          <w:color w:val="0A0A0A"/>
          <w:kern w:val="0"/>
          <w:sz w:val="24"/>
          <w:szCs w:val="24"/>
        </w:rPr>
        <w:t xml:space="preserve"> some feedback of the VOC constraints on the NOx? </w:t>
      </w:r>
    </w:p>
    <w:p w14:paraId="53ABC462" w14:textId="20661E4D" w:rsidR="00D50C72" w:rsidRDefault="00FB0552" w:rsidP="00FB0552">
      <w:pPr>
        <w:widowControl/>
        <w:wordWrap/>
        <w:autoSpaceDE/>
        <w:autoSpaceDN/>
        <w:spacing w:line="276" w:lineRule="auto"/>
        <w:rPr>
          <w:rFonts w:ascii="Palatino Linotype" w:eastAsia="굴림" w:hAnsi="Palatino Linotype" w:cs="Times New Roman"/>
          <w:color w:val="0A0A0A"/>
          <w:kern w:val="0"/>
          <w:sz w:val="24"/>
          <w:szCs w:val="24"/>
        </w:rPr>
      </w:pPr>
      <w:r w:rsidRPr="00FB0552">
        <w:rPr>
          <w:rFonts w:ascii="Palatino Linotype" w:eastAsia="굴림" w:hAnsi="Palatino Linotype" w:cs="Times New Roman"/>
          <w:color w:val="0A0A0A"/>
          <w:kern w:val="0"/>
          <w:sz w:val="24"/>
          <w:szCs w:val="24"/>
        </w:rPr>
        <w:t>- For the FDMB part, what drove the decision to assimilate NO</w:t>
      </w:r>
      <w:r w:rsidRPr="006A7686">
        <w:rPr>
          <w:rFonts w:ascii="Palatino Linotype" w:eastAsia="굴림" w:hAnsi="Palatino Linotype" w:cs="Times New Roman"/>
          <w:color w:val="0A0A0A"/>
          <w:kern w:val="0"/>
          <w:sz w:val="24"/>
          <w:szCs w:val="24"/>
          <w:vertAlign w:val="subscript"/>
        </w:rPr>
        <w:t>2</w:t>
      </w:r>
      <w:r w:rsidRPr="00FB0552">
        <w:rPr>
          <w:rFonts w:ascii="Palatino Linotype" w:eastAsia="굴림" w:hAnsi="Palatino Linotype" w:cs="Times New Roman"/>
          <w:color w:val="0A0A0A"/>
          <w:kern w:val="0"/>
          <w:sz w:val="24"/>
          <w:szCs w:val="24"/>
        </w:rPr>
        <w:t xml:space="preserve"> first and then HCHO, rather than the other way around? </w:t>
      </w:r>
    </w:p>
    <w:p w14:paraId="408A553C" w14:textId="77777777" w:rsidR="00DB0E5B" w:rsidRDefault="00DB0E5B" w:rsidP="00FB0552">
      <w:pPr>
        <w:widowControl/>
        <w:wordWrap/>
        <w:autoSpaceDE/>
        <w:autoSpaceDN/>
        <w:spacing w:line="276" w:lineRule="auto"/>
        <w:rPr>
          <w:rFonts w:ascii="Palatino Linotype" w:eastAsia="굴림" w:hAnsi="Palatino Linotype" w:cs="Times New Roman"/>
          <w:color w:val="0A0A0A"/>
          <w:kern w:val="0"/>
          <w:sz w:val="24"/>
          <w:szCs w:val="24"/>
        </w:rPr>
      </w:pPr>
    </w:p>
    <w:p w14:paraId="15ED6DB3" w14:textId="35CF1472" w:rsidR="005E3FED" w:rsidRDefault="00720029" w:rsidP="008C03D0">
      <w:pPr>
        <w:widowControl/>
        <w:wordWrap/>
        <w:autoSpaceDE/>
        <w:autoSpaceDN/>
        <w:spacing w:line="276" w:lineRule="auto"/>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007E46D3" w:rsidRPr="007E46D3">
        <w:rPr>
          <w:rFonts w:ascii="Palatino Linotype" w:hAnsi="Palatino Linotype" w:cs="Times New Roman"/>
          <w:b/>
          <w:bCs/>
          <w:sz w:val="24"/>
          <w:szCs w:val="28"/>
          <w:shd w:val="clear" w:color="auto" w:fill="FFFFFF"/>
        </w:rPr>
        <w:t>:</w:t>
      </w:r>
      <w:r w:rsidR="00D25532" w:rsidRPr="00D25532">
        <w:t xml:space="preserve"> </w:t>
      </w:r>
      <w:r w:rsidR="00D25532" w:rsidRPr="00D25532">
        <w:rPr>
          <w:rFonts w:ascii="Palatino Linotype" w:hAnsi="Palatino Linotype" w:cs="Times New Roman"/>
          <w:b/>
          <w:bCs/>
          <w:sz w:val="24"/>
          <w:szCs w:val="28"/>
          <w:shd w:val="clear" w:color="auto" w:fill="FFFFFF"/>
        </w:rPr>
        <w:t>We sincerely thank the reviewer for this insightful comment and for bringing the recent study by Choi et al. (202</w:t>
      </w:r>
      <w:r w:rsidR="00D25532">
        <w:rPr>
          <w:rFonts w:ascii="Palatino Linotype" w:hAnsi="Palatino Linotype" w:cs="Times New Roman"/>
          <w:b/>
          <w:bCs/>
          <w:sz w:val="24"/>
          <w:szCs w:val="28"/>
          <w:shd w:val="clear" w:color="auto" w:fill="FFFFFF"/>
        </w:rPr>
        <w:t>5</w:t>
      </w:r>
      <w:r w:rsidR="00D25532" w:rsidRPr="00D25532">
        <w:rPr>
          <w:rFonts w:ascii="Palatino Linotype" w:hAnsi="Palatino Linotype" w:cs="Times New Roman"/>
          <w:b/>
          <w:bCs/>
          <w:sz w:val="24"/>
          <w:szCs w:val="28"/>
          <w:shd w:val="clear" w:color="auto" w:fill="FFFFFF"/>
        </w:rPr>
        <w:t>) to our attention. We agree that simultaneous and iterative inversion approaches can be valuable for reducing smearing errors and accounting for nonlinear feedbacks when the observational constraints and target emissions are sufficiently well defined. In the present study, however, the FDMB step was intentionally designed as a single-step spatial preconditioning procedure for the subsequent 4D-Var optimization, rather than as a fully iterative standalone inversion. We have clarified this point in the revised manuscript</w:t>
      </w:r>
      <w:r w:rsidR="0089726B">
        <w:rPr>
          <w:rFonts w:ascii="Palatino Linotype" w:hAnsi="Palatino Linotype" w:cs="Times New Roman"/>
          <w:b/>
          <w:bCs/>
          <w:sz w:val="24"/>
          <w:szCs w:val="28"/>
          <w:shd w:val="clear" w:color="auto" w:fill="FFFFFF"/>
        </w:rPr>
        <w:t>.</w:t>
      </w:r>
    </w:p>
    <w:p w14:paraId="7A431615" w14:textId="77777777" w:rsidR="006A397F" w:rsidRDefault="006A397F" w:rsidP="008C03D0">
      <w:pPr>
        <w:widowControl/>
        <w:wordWrap/>
        <w:autoSpaceDE/>
        <w:autoSpaceDN/>
        <w:spacing w:line="276" w:lineRule="auto"/>
        <w:rPr>
          <w:rFonts w:ascii="Palatino Linotype" w:hAnsi="Palatino Linotype" w:cs="Times New Roman"/>
          <w:b/>
          <w:bCs/>
          <w:sz w:val="24"/>
          <w:szCs w:val="28"/>
          <w:shd w:val="clear" w:color="auto" w:fill="FFFFFF"/>
        </w:rPr>
      </w:pPr>
    </w:p>
    <w:p w14:paraId="36B2DE06" w14:textId="77777777" w:rsidR="00E21FB4" w:rsidRDefault="00CF0682" w:rsidP="00CF0682">
      <w:pPr>
        <w:widowControl/>
        <w:wordWrap/>
        <w:autoSpaceDE/>
        <w:autoSpaceDN/>
        <w:spacing w:line="276" w:lineRule="auto"/>
        <w:rPr>
          <w:rFonts w:ascii="Palatino Linotype" w:hAnsi="Palatino Linotype" w:cs="Times New Roman"/>
          <w:b/>
          <w:bCs/>
          <w:sz w:val="24"/>
          <w:szCs w:val="28"/>
          <w:shd w:val="clear" w:color="auto" w:fill="FFFFFF"/>
        </w:rPr>
      </w:pPr>
      <w:r w:rsidRPr="00CF0682">
        <w:rPr>
          <w:rFonts w:ascii="Palatino Linotype" w:hAnsi="Palatino Linotype" w:cs="Times New Roman"/>
          <w:b/>
          <w:bCs/>
          <w:sz w:val="24"/>
          <w:szCs w:val="28"/>
          <w:shd w:val="clear" w:color="auto" w:fill="FFFFFF"/>
        </w:rPr>
        <w:t>(1</w:t>
      </w:r>
      <w:r>
        <w:rPr>
          <w:rFonts w:ascii="Palatino Linotype" w:hAnsi="Palatino Linotype" w:cs="Times New Roman"/>
          <w:b/>
          <w:bCs/>
          <w:sz w:val="24"/>
          <w:szCs w:val="28"/>
          <w:shd w:val="clear" w:color="auto" w:fill="FFFFFF"/>
        </w:rPr>
        <w:t xml:space="preserve">) </w:t>
      </w:r>
      <w:r w:rsidR="00E21FB4" w:rsidRPr="00E21FB4">
        <w:rPr>
          <w:rFonts w:ascii="Palatino Linotype" w:hAnsi="Palatino Linotype" w:cs="Times New Roman"/>
          <w:b/>
          <w:bCs/>
          <w:sz w:val="24"/>
          <w:szCs w:val="28"/>
          <w:shd w:val="clear" w:color="auto" w:fill="FFFFFF"/>
        </w:rPr>
        <w:t>Sequential application of FDMB</w:t>
      </w:r>
    </w:p>
    <w:p w14:paraId="2A09EC20" w14:textId="4C8F761C" w:rsidR="005E3FED" w:rsidRPr="00CF0682" w:rsidRDefault="00D25532" w:rsidP="00CF0682">
      <w:pPr>
        <w:widowControl/>
        <w:wordWrap/>
        <w:autoSpaceDE/>
        <w:autoSpaceDN/>
        <w:spacing w:line="276" w:lineRule="auto"/>
        <w:rPr>
          <w:rFonts w:ascii="Palatino Linotype" w:hAnsi="Palatino Linotype" w:cs="Times New Roman"/>
          <w:b/>
          <w:bCs/>
          <w:sz w:val="24"/>
          <w:szCs w:val="28"/>
          <w:shd w:val="clear" w:color="auto" w:fill="FFFFFF"/>
        </w:rPr>
      </w:pPr>
      <w:r w:rsidRPr="00CF0682">
        <w:rPr>
          <w:rFonts w:ascii="Palatino Linotype" w:hAnsi="Palatino Linotype" w:cs="Times New Roman"/>
          <w:b/>
          <w:bCs/>
          <w:sz w:val="24"/>
          <w:szCs w:val="28"/>
          <w:shd w:val="clear" w:color="auto" w:fill="FFFFFF"/>
        </w:rPr>
        <w:t>We applied the FDMB correction sequentially because NO</w:t>
      </w:r>
      <w:r w:rsidRPr="00CF0682">
        <w:rPr>
          <w:rFonts w:ascii="Palatino Linotype" w:hAnsi="Palatino Linotype" w:cs="Times New Roman"/>
          <w:b/>
          <w:bCs/>
          <w:sz w:val="24"/>
          <w:szCs w:val="28"/>
          <w:shd w:val="clear" w:color="auto" w:fill="FFFFFF"/>
          <w:vertAlign w:val="subscript"/>
        </w:rPr>
        <w:t>2</w:t>
      </w:r>
      <w:r w:rsidRPr="00CF0682">
        <w:rPr>
          <w:rFonts w:ascii="Palatino Linotype" w:hAnsi="Palatino Linotype" w:cs="Times New Roman"/>
          <w:b/>
          <w:bCs/>
          <w:sz w:val="24"/>
          <w:szCs w:val="28"/>
          <w:shd w:val="clear" w:color="auto" w:fill="FFFFFF"/>
        </w:rPr>
        <w:t xml:space="preserve"> and HCHO provide fundamentally different types of observational constraints. Tropospheric NO</w:t>
      </w:r>
      <w:r w:rsidRPr="00CF0682">
        <w:rPr>
          <w:rFonts w:ascii="Palatino Linotype" w:hAnsi="Palatino Linotype" w:cs="Times New Roman"/>
          <w:b/>
          <w:bCs/>
          <w:sz w:val="24"/>
          <w:szCs w:val="28"/>
          <w:shd w:val="clear" w:color="auto" w:fill="FFFFFF"/>
          <w:vertAlign w:val="subscript"/>
        </w:rPr>
        <w:t>2</w:t>
      </w:r>
      <w:r w:rsidRPr="00CF0682">
        <w:rPr>
          <w:rFonts w:ascii="Palatino Linotype" w:hAnsi="Palatino Linotype" w:cs="Times New Roman"/>
          <w:b/>
          <w:bCs/>
          <w:sz w:val="24"/>
          <w:szCs w:val="28"/>
          <w:shd w:val="clear" w:color="auto" w:fill="FFFFFF"/>
        </w:rPr>
        <w:t xml:space="preserve"> columns are</w:t>
      </w:r>
      <w:r w:rsidR="0072314A" w:rsidRPr="00CF0682">
        <w:rPr>
          <w:rFonts w:ascii="Palatino Linotype" w:hAnsi="Palatino Linotype" w:cs="Times New Roman"/>
          <w:b/>
          <w:bCs/>
          <w:sz w:val="24"/>
          <w:szCs w:val="28"/>
          <w:shd w:val="clear" w:color="auto" w:fill="FFFFFF"/>
        </w:rPr>
        <w:t xml:space="preserve"> more</w:t>
      </w:r>
      <w:r w:rsidRPr="00CF0682">
        <w:rPr>
          <w:rFonts w:ascii="Palatino Linotype" w:hAnsi="Palatino Linotype" w:cs="Times New Roman"/>
          <w:b/>
          <w:bCs/>
          <w:sz w:val="24"/>
          <w:szCs w:val="28"/>
          <w:shd w:val="clear" w:color="auto" w:fill="FFFFFF"/>
        </w:rPr>
        <w:t xml:space="preserve"> directly related to NO</w:t>
      </w:r>
      <w:r w:rsidRPr="00CF0682">
        <w:rPr>
          <w:rFonts w:ascii="Palatino Linotype" w:hAnsi="Palatino Linotype" w:cs="Times New Roman"/>
          <w:b/>
          <w:bCs/>
          <w:sz w:val="24"/>
          <w:szCs w:val="28"/>
          <w:shd w:val="clear" w:color="auto" w:fill="FFFFFF"/>
          <w:vertAlign w:val="subscript"/>
        </w:rPr>
        <w:t>x</w:t>
      </w:r>
      <w:r w:rsidRPr="00CF0682">
        <w:rPr>
          <w:rFonts w:ascii="Palatino Linotype" w:hAnsi="Palatino Linotype" w:cs="Times New Roman"/>
          <w:b/>
          <w:bCs/>
          <w:sz w:val="24"/>
          <w:szCs w:val="28"/>
          <w:shd w:val="clear" w:color="auto" w:fill="FFFFFF"/>
        </w:rPr>
        <w:t xml:space="preserve"> emissions, whereas HCHO is a secondary product of VOC oxidation, with production yields that depend non-linearly on</w:t>
      </w:r>
      <w:r w:rsidR="0072314A" w:rsidRPr="00CF0682">
        <w:rPr>
          <w:rFonts w:ascii="Palatino Linotype" w:hAnsi="Palatino Linotype" w:cs="Times New Roman"/>
          <w:b/>
          <w:bCs/>
          <w:sz w:val="24"/>
          <w:szCs w:val="28"/>
          <w:shd w:val="clear" w:color="auto" w:fill="FFFFFF"/>
        </w:rPr>
        <w:t xml:space="preserve"> </w:t>
      </w:r>
      <w:r w:rsidRPr="00CF0682">
        <w:rPr>
          <w:rFonts w:ascii="Palatino Linotype" w:hAnsi="Palatino Linotype" w:cs="Times New Roman"/>
          <w:b/>
          <w:bCs/>
          <w:sz w:val="24"/>
          <w:szCs w:val="28"/>
          <w:shd w:val="clear" w:color="auto" w:fill="FFFFFF"/>
        </w:rPr>
        <w:t>NO</w:t>
      </w:r>
      <w:r w:rsidRPr="00CF0682">
        <w:rPr>
          <w:rFonts w:ascii="Palatino Linotype" w:hAnsi="Palatino Linotype" w:cs="Times New Roman"/>
          <w:b/>
          <w:bCs/>
          <w:sz w:val="24"/>
          <w:szCs w:val="28"/>
          <w:shd w:val="clear" w:color="auto" w:fill="FFFFFF"/>
          <w:vertAlign w:val="subscript"/>
        </w:rPr>
        <w:t>x</w:t>
      </w:r>
      <w:r w:rsidRPr="00CF0682">
        <w:rPr>
          <w:rFonts w:ascii="Palatino Linotype" w:hAnsi="Palatino Linotype" w:cs="Times New Roman"/>
          <w:b/>
          <w:bCs/>
          <w:sz w:val="24"/>
          <w:szCs w:val="28"/>
          <w:shd w:val="clear" w:color="auto" w:fill="FFFFFF"/>
        </w:rPr>
        <w:t>-dependent photochemistry and oxidative capacity (Wolfe et al., 2016). Therefore, establishing an accurate NO</w:t>
      </w:r>
      <w:r w:rsidRPr="00CF0682">
        <w:rPr>
          <w:rFonts w:ascii="Palatino Linotype" w:hAnsi="Palatino Linotype" w:cs="Times New Roman"/>
          <w:b/>
          <w:bCs/>
          <w:sz w:val="24"/>
          <w:szCs w:val="28"/>
          <w:shd w:val="clear" w:color="auto" w:fill="FFFFFF"/>
          <w:vertAlign w:val="subscript"/>
        </w:rPr>
        <w:t>x</w:t>
      </w:r>
      <w:r w:rsidRPr="00CF0682">
        <w:rPr>
          <w:rFonts w:ascii="Palatino Linotype" w:hAnsi="Palatino Linotype" w:cs="Times New Roman"/>
          <w:b/>
          <w:bCs/>
          <w:sz w:val="24"/>
          <w:szCs w:val="28"/>
          <w:shd w:val="clear" w:color="auto" w:fill="FFFFFF"/>
        </w:rPr>
        <w:t xml:space="preserve"> baseline first builds a more consistent chemical background, </w:t>
      </w:r>
      <w:r w:rsidR="0072314A" w:rsidRPr="00CF0682">
        <w:rPr>
          <w:rFonts w:ascii="Palatino Linotype" w:hAnsi="Palatino Linotype" w:cs="Times New Roman"/>
          <w:b/>
          <w:bCs/>
          <w:sz w:val="24"/>
          <w:szCs w:val="28"/>
          <w:shd w:val="clear" w:color="auto" w:fill="FFFFFF"/>
        </w:rPr>
        <w:t>thereby</w:t>
      </w:r>
      <w:r w:rsidRPr="00CF0682">
        <w:rPr>
          <w:rFonts w:ascii="Palatino Linotype" w:hAnsi="Palatino Linotype" w:cs="Times New Roman"/>
          <w:b/>
          <w:bCs/>
          <w:sz w:val="24"/>
          <w:szCs w:val="28"/>
          <w:shd w:val="clear" w:color="auto" w:fill="FFFFFF"/>
        </w:rPr>
        <w:t xml:space="preserve"> reducing the risk of attributing NO</w:t>
      </w:r>
      <w:r w:rsidRPr="00CF0682">
        <w:rPr>
          <w:rFonts w:ascii="Palatino Linotype" w:hAnsi="Palatino Linotype" w:cs="Times New Roman"/>
          <w:b/>
          <w:bCs/>
          <w:sz w:val="24"/>
          <w:szCs w:val="28"/>
          <w:shd w:val="clear" w:color="auto" w:fill="FFFFFF"/>
          <w:vertAlign w:val="subscript"/>
        </w:rPr>
        <w:t>x</w:t>
      </w:r>
      <w:r w:rsidRPr="00CF0682">
        <w:rPr>
          <w:rFonts w:ascii="Palatino Linotype" w:hAnsi="Palatino Linotype" w:cs="Times New Roman"/>
          <w:b/>
          <w:bCs/>
          <w:sz w:val="24"/>
          <w:szCs w:val="28"/>
          <w:shd w:val="clear" w:color="auto" w:fill="FFFFFF"/>
        </w:rPr>
        <w:t>-related HCHO biases to VOC emissions.</w:t>
      </w:r>
    </w:p>
    <w:p w14:paraId="6902CB45" w14:textId="1576CACC" w:rsidR="001241BC" w:rsidRDefault="00D25532" w:rsidP="008C03D0">
      <w:pPr>
        <w:widowControl/>
        <w:wordWrap/>
        <w:autoSpaceDE/>
        <w:autoSpaceDN/>
        <w:spacing w:line="276" w:lineRule="auto"/>
        <w:rPr>
          <w:rFonts w:ascii="Palatino Linotype" w:hAnsi="Palatino Linotype" w:cs="Times New Roman"/>
          <w:b/>
          <w:bCs/>
          <w:sz w:val="24"/>
          <w:szCs w:val="28"/>
          <w:shd w:val="clear" w:color="auto" w:fill="FFFFFF"/>
        </w:rPr>
      </w:pPr>
      <w:r w:rsidRPr="00D25532">
        <w:rPr>
          <w:rFonts w:ascii="Palatino Linotype" w:hAnsi="Palatino Linotype" w:cs="Times New Roman"/>
          <w:b/>
          <w:bCs/>
          <w:sz w:val="24"/>
          <w:szCs w:val="28"/>
          <w:shd w:val="clear" w:color="auto" w:fill="FFFFFF"/>
        </w:rPr>
        <w:lastRenderedPageBreak/>
        <w:t>Structurally, the conventional FDMB method relies on a localized, diagonal</w:t>
      </w:r>
      <w:r w:rsidR="0072314A">
        <w:rPr>
          <w:rFonts w:ascii="Palatino Linotype" w:hAnsi="Palatino Linotype" w:cs="Times New Roman"/>
          <w:b/>
          <w:bCs/>
          <w:sz w:val="24"/>
          <w:szCs w:val="28"/>
          <w:shd w:val="clear" w:color="auto" w:fill="FFFFFF"/>
        </w:rPr>
        <w:t xml:space="preserve"> one-to-one </w:t>
      </w:r>
      <w:r w:rsidRPr="00D25532">
        <w:rPr>
          <w:rFonts w:ascii="Palatino Linotype" w:hAnsi="Palatino Linotype" w:cs="Times New Roman"/>
          <w:b/>
          <w:bCs/>
          <w:sz w:val="24"/>
          <w:szCs w:val="28"/>
          <w:shd w:val="clear" w:color="auto" w:fill="FFFFFF"/>
        </w:rPr>
        <w:t xml:space="preserve">proportional assumption between a precursor emission and its primary column indicator. </w:t>
      </w:r>
      <w:r w:rsidR="00ED2F89">
        <w:rPr>
          <w:rFonts w:ascii="Palatino Linotype" w:hAnsi="Palatino Linotype" w:cs="Times New Roman"/>
          <w:b/>
          <w:bCs/>
          <w:sz w:val="24"/>
          <w:szCs w:val="28"/>
          <w:shd w:val="clear" w:color="auto" w:fill="FFFFFF"/>
        </w:rPr>
        <w:t xml:space="preserve">It </w:t>
      </w:r>
      <w:r w:rsidR="00ED2F89" w:rsidRPr="00ED2F89">
        <w:rPr>
          <w:rFonts w:ascii="Palatino Linotype" w:hAnsi="Palatino Linotype" w:cs="Times New Roman"/>
          <w:b/>
          <w:bCs/>
          <w:sz w:val="24"/>
          <w:szCs w:val="28"/>
          <w:shd w:val="clear" w:color="auto" w:fill="FFFFFF"/>
        </w:rPr>
        <w:t>does not explicitly account for cross-sensitivities between precursor emissions and secondary products</w:t>
      </w:r>
      <w:r w:rsidRPr="00D25532">
        <w:rPr>
          <w:rFonts w:ascii="Palatino Linotype" w:hAnsi="Palatino Linotype" w:cs="Times New Roman"/>
          <w:b/>
          <w:bCs/>
          <w:sz w:val="24"/>
          <w:szCs w:val="28"/>
          <w:shd w:val="clear" w:color="auto" w:fill="FFFFFF"/>
        </w:rPr>
        <w:t xml:space="preserve"> </w:t>
      </w:r>
      <w:r w:rsidR="00ED2F89" w:rsidRPr="00ED2F89">
        <w:rPr>
          <w:rFonts w:ascii="Palatino Linotype" w:hAnsi="Palatino Linotype" w:cs="Times New Roman"/>
          <w:b/>
          <w:bCs/>
          <w:sz w:val="24"/>
          <w:szCs w:val="28"/>
          <w:shd w:val="clear" w:color="auto" w:fill="FFFFFF"/>
        </w:rPr>
        <w:t>(e.g., the sensitivity of HCHO columns to NO</w:t>
      </w:r>
      <w:r w:rsidR="00ED2F89" w:rsidRPr="00ED2F89">
        <w:rPr>
          <w:rFonts w:ascii="Palatino Linotype" w:hAnsi="Palatino Linotype" w:cs="Times New Roman"/>
          <w:b/>
          <w:bCs/>
          <w:sz w:val="24"/>
          <w:szCs w:val="28"/>
          <w:shd w:val="clear" w:color="auto" w:fill="FFFFFF"/>
          <w:vertAlign w:val="subscript"/>
        </w:rPr>
        <w:t>x</w:t>
      </w:r>
      <w:r w:rsidR="00ED2F89" w:rsidRPr="00ED2F89">
        <w:rPr>
          <w:rFonts w:ascii="Palatino Linotype" w:hAnsi="Palatino Linotype" w:cs="Times New Roman"/>
          <w:b/>
          <w:bCs/>
          <w:sz w:val="24"/>
          <w:szCs w:val="28"/>
          <w:shd w:val="clear" w:color="auto" w:fill="FFFFFF"/>
        </w:rPr>
        <w:t xml:space="preserve"> emissions</w:t>
      </w:r>
      <w:r w:rsidR="00ED2F89">
        <w:rPr>
          <w:rFonts w:ascii="Palatino Linotype" w:hAnsi="Palatino Linotype" w:cs="Times New Roman"/>
          <w:b/>
          <w:bCs/>
          <w:sz w:val="24"/>
          <w:szCs w:val="28"/>
          <w:shd w:val="clear" w:color="auto" w:fill="FFFFFF"/>
        </w:rPr>
        <w:t>)</w:t>
      </w:r>
      <w:r w:rsidRPr="00D25532">
        <w:rPr>
          <w:rFonts w:ascii="Palatino Linotype" w:hAnsi="Palatino Linotype" w:cs="Times New Roman"/>
          <w:b/>
          <w:bCs/>
          <w:sz w:val="24"/>
          <w:szCs w:val="28"/>
          <w:shd w:val="clear" w:color="auto" w:fill="FFFFFF"/>
        </w:rPr>
        <w:t xml:space="preserve">. If we were to perform a simultaneous joint inversion or a reversed sequence within the FDMB step, this highly non-linear relationship would be </w:t>
      </w:r>
      <w:r w:rsidR="00B93180" w:rsidRPr="00B93180">
        <w:rPr>
          <w:rFonts w:ascii="Palatino Linotype" w:hAnsi="Palatino Linotype" w:cs="Times New Roman"/>
          <w:b/>
          <w:bCs/>
          <w:sz w:val="24"/>
          <w:szCs w:val="28"/>
          <w:shd w:val="clear" w:color="auto" w:fill="FFFFFF"/>
        </w:rPr>
        <w:t>approximated within a simplified finite-difference scaling framework, which could misattribute chemically coupled HCHO responses and potentially amplify top-down emission errors. By pre-conditioning NO</w:t>
      </w:r>
      <w:r w:rsidR="00B93180" w:rsidRPr="00B93180">
        <w:rPr>
          <w:rFonts w:ascii="Palatino Linotype" w:hAnsi="Palatino Linotype" w:cs="Times New Roman"/>
          <w:b/>
          <w:bCs/>
          <w:sz w:val="24"/>
          <w:szCs w:val="28"/>
          <w:shd w:val="clear" w:color="auto" w:fill="FFFFFF"/>
          <w:vertAlign w:val="subscript"/>
        </w:rPr>
        <w:t>x</w:t>
      </w:r>
      <w:r w:rsidR="00B93180" w:rsidRPr="00B93180">
        <w:rPr>
          <w:rFonts w:ascii="Palatino Linotype" w:hAnsi="Palatino Linotype" w:cs="Times New Roman"/>
          <w:b/>
          <w:bCs/>
          <w:sz w:val="24"/>
          <w:szCs w:val="28"/>
          <w:shd w:val="clear" w:color="auto" w:fill="FFFFFF"/>
        </w:rPr>
        <w:t xml:space="preserve"> emissions first, the forward model explicitly updates the chemical baseline, providing a more consistent background field before evaluating the HCHO-to-VOC mass balance.</w:t>
      </w:r>
    </w:p>
    <w:p w14:paraId="4A667388" w14:textId="77777777" w:rsidR="00787610" w:rsidRDefault="00787610" w:rsidP="008C03D0">
      <w:pPr>
        <w:widowControl/>
        <w:wordWrap/>
        <w:autoSpaceDE/>
        <w:autoSpaceDN/>
        <w:spacing w:line="276" w:lineRule="auto"/>
        <w:rPr>
          <w:rFonts w:ascii="Palatino Linotype" w:hAnsi="Palatino Linotype" w:cs="Times New Roman"/>
          <w:b/>
          <w:bCs/>
          <w:sz w:val="24"/>
          <w:szCs w:val="28"/>
          <w:shd w:val="clear" w:color="auto" w:fill="FFFFFF"/>
        </w:rPr>
      </w:pPr>
    </w:p>
    <w:p w14:paraId="44A9A4BC" w14:textId="77777777" w:rsidR="00E21FB4" w:rsidRDefault="00107EE2" w:rsidP="008C03D0">
      <w:pPr>
        <w:widowControl/>
        <w:wordWrap/>
        <w:autoSpaceDE/>
        <w:autoSpaceDN/>
        <w:spacing w:line="276" w:lineRule="auto"/>
        <w:rPr>
          <w:rFonts w:ascii="Palatino Linotype" w:hAnsi="Palatino Linotype" w:cs="Times New Roman"/>
          <w:b/>
          <w:bCs/>
          <w:sz w:val="24"/>
          <w:szCs w:val="28"/>
          <w:shd w:val="clear" w:color="auto" w:fill="FFFFFF"/>
        </w:rPr>
      </w:pPr>
      <w:r>
        <w:rPr>
          <w:rFonts w:ascii="Palatino Linotype" w:hAnsi="Palatino Linotype" w:cs="Times New Roman"/>
          <w:b/>
          <w:bCs/>
          <w:sz w:val="24"/>
          <w:szCs w:val="28"/>
          <w:shd w:val="clear" w:color="auto" w:fill="FFFFFF"/>
        </w:rPr>
        <w:t xml:space="preserve">(2) </w:t>
      </w:r>
      <w:r w:rsidR="00E21FB4" w:rsidRPr="00E21FB4">
        <w:rPr>
          <w:rFonts w:ascii="Palatino Linotype" w:hAnsi="Palatino Linotype" w:cs="Times New Roman"/>
          <w:b/>
          <w:bCs/>
          <w:sz w:val="24"/>
          <w:szCs w:val="28"/>
          <w:shd w:val="clear" w:color="auto" w:fill="FFFFFF"/>
        </w:rPr>
        <w:t>Difference from Choi et al. (2025)</w:t>
      </w:r>
    </w:p>
    <w:p w14:paraId="7C7A7316" w14:textId="33D31A6D" w:rsidR="00B57E67" w:rsidRDefault="00B57E67" w:rsidP="008C03D0">
      <w:pPr>
        <w:widowControl/>
        <w:wordWrap/>
        <w:autoSpaceDE/>
        <w:autoSpaceDN/>
        <w:spacing w:line="276" w:lineRule="auto"/>
        <w:rPr>
          <w:rFonts w:ascii="Palatino Linotype" w:hAnsi="Palatino Linotype" w:cs="Times New Roman"/>
          <w:b/>
          <w:bCs/>
          <w:sz w:val="24"/>
          <w:szCs w:val="28"/>
          <w:shd w:val="clear" w:color="auto" w:fill="FFFFFF"/>
        </w:rPr>
      </w:pPr>
      <w:r w:rsidRPr="00B57E67">
        <w:rPr>
          <w:rFonts w:ascii="Palatino Linotype" w:hAnsi="Palatino Linotype" w:cs="Times New Roman"/>
          <w:b/>
          <w:bCs/>
          <w:sz w:val="24"/>
          <w:szCs w:val="28"/>
          <w:shd w:val="clear" w:color="auto" w:fill="FFFFFF"/>
        </w:rPr>
        <w:t>We note that the study by Choi et al. (2025) differs fundamentally from ours in its inversion target. Their joint inversion used isoprene and HCHO observations to constrain NMVOC emissions, whereas our framework targets both NO</w:t>
      </w:r>
      <w:r w:rsidRPr="00B57E67">
        <w:rPr>
          <w:rFonts w:ascii="Palatino Linotype" w:hAnsi="Palatino Linotype" w:cs="Times New Roman"/>
          <w:b/>
          <w:bCs/>
          <w:sz w:val="24"/>
          <w:szCs w:val="28"/>
          <w:shd w:val="clear" w:color="auto" w:fill="FFFFFF"/>
          <w:vertAlign w:val="subscript"/>
        </w:rPr>
        <w:t>x</w:t>
      </w:r>
      <w:r w:rsidRPr="00B57E67">
        <w:rPr>
          <w:rFonts w:ascii="Palatino Linotype" w:hAnsi="Palatino Linotype" w:cs="Times New Roman"/>
          <w:b/>
          <w:bCs/>
          <w:sz w:val="24"/>
          <w:szCs w:val="28"/>
          <w:shd w:val="clear" w:color="auto" w:fill="FFFFFF"/>
        </w:rPr>
        <w:t xml:space="preserve"> and VOC emissions. </w:t>
      </w:r>
      <w:r w:rsidR="00C64F36" w:rsidRPr="00C64F36">
        <w:rPr>
          <w:rFonts w:ascii="Palatino Linotype" w:hAnsi="Palatino Linotype" w:cs="Times New Roman"/>
          <w:b/>
          <w:bCs/>
          <w:sz w:val="24"/>
          <w:szCs w:val="28"/>
          <w:shd w:val="clear" w:color="auto" w:fill="FFFFFF"/>
        </w:rPr>
        <w:t>Because simultaneous NO</w:t>
      </w:r>
      <w:r w:rsidR="00C64F36" w:rsidRPr="00C7288F">
        <w:rPr>
          <w:rFonts w:ascii="Palatino Linotype" w:hAnsi="Palatino Linotype" w:cs="Times New Roman"/>
          <w:b/>
          <w:bCs/>
          <w:sz w:val="24"/>
          <w:szCs w:val="28"/>
          <w:shd w:val="clear" w:color="auto" w:fill="FFFFFF"/>
          <w:vertAlign w:val="subscript"/>
        </w:rPr>
        <w:t>x</w:t>
      </w:r>
      <w:r w:rsidR="00C64F36" w:rsidRPr="00C64F36">
        <w:rPr>
          <w:rFonts w:ascii="Palatino Linotype" w:hAnsi="Palatino Linotype" w:cs="Times New Roman"/>
          <w:b/>
          <w:bCs/>
          <w:sz w:val="24"/>
          <w:szCs w:val="28"/>
          <w:shd w:val="clear" w:color="auto" w:fill="FFFFFF"/>
        </w:rPr>
        <w:t xml:space="preserve"> and VOC correction within FDMB would likely be more affected by shifting NO</w:t>
      </w:r>
      <w:r w:rsidR="00C64F36" w:rsidRPr="00C7288F">
        <w:rPr>
          <w:rFonts w:ascii="Palatino Linotype" w:hAnsi="Palatino Linotype" w:cs="Times New Roman"/>
          <w:b/>
          <w:bCs/>
          <w:sz w:val="24"/>
          <w:szCs w:val="28"/>
          <w:shd w:val="clear" w:color="auto" w:fill="FFFFFF"/>
          <w:vertAlign w:val="subscript"/>
        </w:rPr>
        <w:t>x</w:t>
      </w:r>
      <w:r w:rsidR="00C64F36" w:rsidRPr="00C64F36">
        <w:rPr>
          <w:rFonts w:ascii="Palatino Linotype" w:hAnsi="Palatino Linotype" w:cs="Times New Roman"/>
          <w:b/>
          <w:bCs/>
          <w:sz w:val="24"/>
          <w:szCs w:val="28"/>
          <w:shd w:val="clear" w:color="auto" w:fill="FFFFFF"/>
        </w:rPr>
        <w:t xml:space="preserve"> regimes, it could increase the risk of misattributing chemically coupled HCHO responses to VOC emissions.</w:t>
      </w:r>
    </w:p>
    <w:p w14:paraId="1AC483CE" w14:textId="77777777" w:rsidR="00787610" w:rsidRDefault="00787610" w:rsidP="008C03D0">
      <w:pPr>
        <w:widowControl/>
        <w:wordWrap/>
        <w:autoSpaceDE/>
        <w:autoSpaceDN/>
        <w:spacing w:line="276" w:lineRule="auto"/>
        <w:rPr>
          <w:rFonts w:ascii="Palatino Linotype" w:hAnsi="Palatino Linotype" w:cs="Times New Roman"/>
          <w:b/>
          <w:bCs/>
          <w:sz w:val="24"/>
          <w:szCs w:val="28"/>
          <w:shd w:val="clear" w:color="auto" w:fill="FFFFFF"/>
        </w:rPr>
      </w:pPr>
    </w:p>
    <w:p w14:paraId="1B6E8B18" w14:textId="77777777" w:rsidR="002A2343" w:rsidRDefault="00107EE2" w:rsidP="008C03D0">
      <w:pPr>
        <w:widowControl/>
        <w:wordWrap/>
        <w:autoSpaceDE/>
        <w:autoSpaceDN/>
        <w:spacing w:line="276" w:lineRule="auto"/>
        <w:rPr>
          <w:rFonts w:ascii="Palatino Linotype" w:hAnsi="Palatino Linotype" w:cs="Times New Roman"/>
          <w:b/>
          <w:bCs/>
          <w:sz w:val="24"/>
          <w:szCs w:val="28"/>
          <w:shd w:val="clear" w:color="auto" w:fill="FFFFFF"/>
        </w:rPr>
      </w:pPr>
      <w:r>
        <w:rPr>
          <w:rFonts w:ascii="Palatino Linotype" w:hAnsi="Palatino Linotype" w:cs="Times New Roman"/>
          <w:b/>
          <w:bCs/>
          <w:sz w:val="24"/>
          <w:szCs w:val="28"/>
          <w:shd w:val="clear" w:color="auto" w:fill="FFFFFF"/>
        </w:rPr>
        <w:t xml:space="preserve">(3) </w:t>
      </w:r>
      <w:r w:rsidR="002A2343" w:rsidRPr="002A2343">
        <w:rPr>
          <w:rFonts w:ascii="Palatino Linotype" w:hAnsi="Palatino Linotype" w:cs="Times New Roman"/>
          <w:b/>
          <w:bCs/>
          <w:sz w:val="24"/>
          <w:szCs w:val="28"/>
          <w:shd w:val="clear" w:color="auto" w:fill="FFFFFF"/>
        </w:rPr>
        <w:t>Single-step rather than iterative FDMB</w:t>
      </w:r>
    </w:p>
    <w:p w14:paraId="27F26F7F" w14:textId="56F8A213" w:rsidR="00B876FD" w:rsidRDefault="00D25532" w:rsidP="008C03D0">
      <w:pPr>
        <w:widowControl/>
        <w:wordWrap/>
        <w:autoSpaceDE/>
        <w:autoSpaceDN/>
        <w:spacing w:line="276" w:lineRule="auto"/>
        <w:rPr>
          <w:rFonts w:ascii="Palatino Linotype" w:hAnsi="Palatino Linotype" w:cs="Times New Roman"/>
          <w:b/>
          <w:bCs/>
          <w:sz w:val="24"/>
          <w:szCs w:val="28"/>
          <w:shd w:val="clear" w:color="auto" w:fill="FFFFFF"/>
        </w:rPr>
      </w:pPr>
      <w:r w:rsidRPr="00D25532">
        <w:rPr>
          <w:rFonts w:ascii="Palatino Linotype" w:hAnsi="Palatino Linotype" w:cs="Times New Roman"/>
          <w:b/>
          <w:bCs/>
          <w:sz w:val="24"/>
          <w:szCs w:val="28"/>
          <w:shd w:val="clear" w:color="auto" w:fill="FFFFFF"/>
        </w:rPr>
        <w:t xml:space="preserve">We did not iterate the FDMB step because the method </w:t>
      </w:r>
      <w:r w:rsidR="00932030" w:rsidRPr="00932030">
        <w:rPr>
          <w:rFonts w:ascii="Palatino Linotype" w:hAnsi="Palatino Linotype" w:cs="Times New Roman"/>
          <w:b/>
          <w:bCs/>
          <w:sz w:val="24"/>
          <w:szCs w:val="28"/>
          <w:shd w:val="clear" w:color="auto" w:fill="FFFFFF"/>
        </w:rPr>
        <w:t>can be</w:t>
      </w:r>
      <w:r w:rsidR="00932030">
        <w:rPr>
          <w:rFonts w:ascii="Palatino Linotype" w:hAnsi="Palatino Linotype" w:cs="Times New Roman"/>
          <w:b/>
          <w:bCs/>
          <w:sz w:val="24"/>
          <w:szCs w:val="28"/>
          <w:shd w:val="clear" w:color="auto" w:fill="FFFFFF"/>
        </w:rPr>
        <w:t xml:space="preserve"> </w:t>
      </w:r>
      <w:r w:rsidRPr="00D25532">
        <w:rPr>
          <w:rFonts w:ascii="Palatino Linotype" w:hAnsi="Palatino Linotype" w:cs="Times New Roman"/>
          <w:b/>
          <w:bCs/>
          <w:sz w:val="24"/>
          <w:szCs w:val="28"/>
          <w:shd w:val="clear" w:color="auto" w:fill="FFFFFF"/>
        </w:rPr>
        <w:t>vulnerable to the amplification of satellite retrieval noise and smearing effects, particularly at the fine 9 km resolution used in this study. Furthermore, previous pseudo-observation tests conducted under the same model domain and horizontal resolution indicated that iterative FDMB (IFDMB) corrections</w:t>
      </w:r>
      <w:r w:rsidR="004436A7">
        <w:rPr>
          <w:rFonts w:ascii="Palatino Linotype" w:hAnsi="Palatino Linotype" w:cs="Times New Roman"/>
          <w:b/>
          <w:bCs/>
          <w:sz w:val="24"/>
          <w:szCs w:val="28"/>
          <w:shd w:val="clear" w:color="auto" w:fill="FFFFFF"/>
        </w:rPr>
        <w:t xml:space="preserve"> </w:t>
      </w:r>
      <w:r w:rsidRPr="00D25532">
        <w:rPr>
          <w:rFonts w:ascii="Palatino Linotype" w:hAnsi="Palatino Linotype" w:cs="Times New Roman"/>
          <w:b/>
          <w:bCs/>
          <w:sz w:val="24"/>
          <w:szCs w:val="28"/>
          <w:shd w:val="clear" w:color="auto" w:fill="FFFFFF"/>
        </w:rPr>
        <w:t xml:space="preserve">can increase emission errors when residual observational noise is propagated through repeated updates (Moon, 2025). Therefore, we utilized FDMB strictly as a single-step spatial preconditioning tool. The remaining multi-species non-linear coupling among </w:t>
      </w:r>
      <w:r>
        <w:rPr>
          <w:rFonts w:ascii="Palatino Linotype" w:hAnsi="Palatino Linotype" w:cs="Times New Roman"/>
          <w:b/>
          <w:bCs/>
          <w:sz w:val="24"/>
          <w:szCs w:val="28"/>
          <w:shd w:val="clear" w:color="auto" w:fill="FFFFFF"/>
        </w:rPr>
        <w:t>NO</w:t>
      </w:r>
      <w:r w:rsidRPr="004436A7">
        <w:rPr>
          <w:rFonts w:ascii="Palatino Linotype" w:hAnsi="Palatino Linotype" w:cs="Times New Roman"/>
          <w:b/>
          <w:bCs/>
          <w:sz w:val="24"/>
          <w:szCs w:val="28"/>
          <w:shd w:val="clear" w:color="auto" w:fill="FFFFFF"/>
          <w:vertAlign w:val="subscript"/>
        </w:rPr>
        <w:t>x</w:t>
      </w:r>
      <w:r w:rsidRPr="00D25532">
        <w:rPr>
          <w:rFonts w:ascii="Palatino Linotype" w:hAnsi="Palatino Linotype" w:cs="Times New Roman"/>
          <w:b/>
          <w:bCs/>
          <w:sz w:val="24"/>
          <w:szCs w:val="28"/>
          <w:shd w:val="clear" w:color="auto" w:fill="FFFFFF"/>
        </w:rPr>
        <w:t xml:space="preserve">, VOCs, and </w:t>
      </w:r>
      <w:r w:rsidR="004436A7">
        <w:rPr>
          <w:rFonts w:ascii="Palatino Linotype" w:hAnsi="Palatino Linotype" w:cs="Times New Roman"/>
          <w:b/>
          <w:bCs/>
          <w:sz w:val="24"/>
          <w:szCs w:val="28"/>
          <w:shd w:val="clear" w:color="auto" w:fill="FFFFFF"/>
        </w:rPr>
        <w:t>O</w:t>
      </w:r>
      <w:r w:rsidR="004436A7" w:rsidRPr="004436A7">
        <w:rPr>
          <w:rFonts w:ascii="Palatino Linotype" w:hAnsi="Palatino Linotype" w:cs="Times New Roman"/>
          <w:b/>
          <w:bCs/>
          <w:sz w:val="24"/>
          <w:szCs w:val="28"/>
          <w:shd w:val="clear" w:color="auto" w:fill="FFFFFF"/>
          <w:vertAlign w:val="subscript"/>
        </w:rPr>
        <w:t>3</w:t>
      </w:r>
      <w:r w:rsidRPr="00D25532">
        <w:rPr>
          <w:rFonts w:ascii="Palatino Linotype" w:hAnsi="Palatino Linotype" w:cs="Times New Roman"/>
          <w:b/>
          <w:bCs/>
          <w:sz w:val="24"/>
          <w:szCs w:val="28"/>
          <w:shd w:val="clear" w:color="auto" w:fill="FFFFFF"/>
        </w:rPr>
        <w:t xml:space="preserve"> is </w:t>
      </w:r>
      <w:r w:rsidR="001E37C2">
        <w:rPr>
          <w:rFonts w:ascii="Palatino Linotype" w:hAnsi="Palatino Linotype" w:cs="Times New Roman"/>
          <w:b/>
          <w:bCs/>
          <w:sz w:val="24"/>
          <w:szCs w:val="28"/>
          <w:shd w:val="clear" w:color="auto" w:fill="FFFFFF"/>
        </w:rPr>
        <w:t xml:space="preserve">then </w:t>
      </w:r>
      <w:r w:rsidR="001E37C2" w:rsidRPr="001E37C2">
        <w:rPr>
          <w:rFonts w:ascii="Palatino Linotype" w:hAnsi="Palatino Linotype" w:cs="Times New Roman"/>
          <w:b/>
          <w:bCs/>
          <w:sz w:val="24"/>
          <w:szCs w:val="28"/>
          <w:shd w:val="clear" w:color="auto" w:fill="FFFFFF"/>
        </w:rPr>
        <w:t>further constrained</w:t>
      </w:r>
      <w:r w:rsidR="001E37C2">
        <w:rPr>
          <w:rFonts w:ascii="Palatino Linotype" w:hAnsi="Palatino Linotype" w:cs="Times New Roman"/>
          <w:b/>
          <w:bCs/>
          <w:sz w:val="24"/>
          <w:szCs w:val="28"/>
          <w:shd w:val="clear" w:color="auto" w:fill="FFFFFF"/>
        </w:rPr>
        <w:t xml:space="preserve"> </w:t>
      </w:r>
      <w:r w:rsidRPr="00D25532">
        <w:rPr>
          <w:rFonts w:ascii="Palatino Linotype" w:hAnsi="Palatino Linotype" w:cs="Times New Roman"/>
          <w:b/>
          <w:bCs/>
          <w:sz w:val="24"/>
          <w:szCs w:val="28"/>
          <w:shd w:val="clear" w:color="auto" w:fill="FFFFFF"/>
        </w:rPr>
        <w:t xml:space="preserve">in our subsequent 4D-Var </w:t>
      </w:r>
      <w:r w:rsidR="00A650D4">
        <w:rPr>
          <w:rFonts w:ascii="Palatino Linotype" w:hAnsi="Palatino Linotype" w:cs="Times New Roman"/>
          <w:b/>
          <w:bCs/>
          <w:sz w:val="24"/>
          <w:szCs w:val="28"/>
          <w:shd w:val="clear" w:color="auto" w:fill="FFFFFF"/>
        </w:rPr>
        <w:t>inversion</w:t>
      </w:r>
      <w:r w:rsidRPr="00D25532">
        <w:rPr>
          <w:rFonts w:ascii="Palatino Linotype" w:hAnsi="Palatino Linotype" w:cs="Times New Roman"/>
          <w:b/>
          <w:bCs/>
          <w:sz w:val="24"/>
          <w:szCs w:val="28"/>
          <w:shd w:val="clear" w:color="auto" w:fill="FFFFFF"/>
        </w:rPr>
        <w:t xml:space="preserve"> step using the full CMAQ chemistry.</w:t>
      </w:r>
    </w:p>
    <w:p w14:paraId="0875D1E9" w14:textId="1CCB1ED8" w:rsidR="003C3A37" w:rsidRDefault="00D25532" w:rsidP="003C3A37">
      <w:pPr>
        <w:widowControl/>
        <w:wordWrap/>
        <w:autoSpaceDE/>
        <w:autoSpaceDN/>
        <w:spacing w:line="276" w:lineRule="auto"/>
        <w:rPr>
          <w:rFonts w:ascii="Palatino Linotype" w:hAnsi="Palatino Linotype" w:cs="Times New Roman"/>
          <w:b/>
          <w:bCs/>
          <w:sz w:val="24"/>
          <w:szCs w:val="28"/>
          <w:shd w:val="clear" w:color="auto" w:fill="FFFFFF"/>
        </w:rPr>
      </w:pPr>
      <w:r w:rsidRPr="00D25532">
        <w:rPr>
          <w:rFonts w:ascii="Palatino Linotype" w:hAnsi="Palatino Linotype" w:cs="Times New Roman"/>
          <w:b/>
          <w:bCs/>
          <w:sz w:val="24"/>
          <w:szCs w:val="28"/>
          <w:shd w:val="clear" w:color="auto" w:fill="FFFFFF"/>
        </w:rPr>
        <w:t xml:space="preserve">We have revised Section 2.3.1 to clarify the rationale for applying the </w:t>
      </w:r>
      <w:r>
        <w:rPr>
          <w:rFonts w:ascii="Palatino Linotype" w:hAnsi="Palatino Linotype" w:cs="Times New Roman"/>
          <w:b/>
          <w:bCs/>
          <w:sz w:val="24"/>
          <w:szCs w:val="28"/>
          <w:shd w:val="clear" w:color="auto" w:fill="FFFFFF"/>
        </w:rPr>
        <w:t>NO</w:t>
      </w:r>
      <w:r w:rsidRPr="004436A7">
        <w:rPr>
          <w:rFonts w:ascii="Palatino Linotype" w:hAnsi="Palatino Linotype" w:cs="Times New Roman"/>
          <w:b/>
          <w:bCs/>
          <w:sz w:val="24"/>
          <w:szCs w:val="28"/>
          <w:shd w:val="clear" w:color="auto" w:fill="FFFFFF"/>
          <w:vertAlign w:val="subscript"/>
        </w:rPr>
        <w:t>2</w:t>
      </w:r>
      <w:r w:rsidRPr="00D25532">
        <w:rPr>
          <w:rFonts w:ascii="Palatino Linotype" w:hAnsi="Palatino Linotype" w:cs="Times New Roman"/>
          <w:b/>
          <w:bCs/>
          <w:sz w:val="24"/>
          <w:szCs w:val="28"/>
          <w:shd w:val="clear" w:color="auto" w:fill="FFFFFF"/>
        </w:rPr>
        <w:t xml:space="preserve">-based </w:t>
      </w:r>
      <w:r>
        <w:rPr>
          <w:rFonts w:ascii="Palatino Linotype" w:hAnsi="Palatino Linotype" w:cs="Times New Roman"/>
          <w:b/>
          <w:bCs/>
          <w:sz w:val="24"/>
          <w:szCs w:val="28"/>
          <w:shd w:val="clear" w:color="auto" w:fill="FFFFFF"/>
        </w:rPr>
        <w:t>NO</w:t>
      </w:r>
      <w:r w:rsidRPr="004436A7">
        <w:rPr>
          <w:rFonts w:ascii="Palatino Linotype" w:hAnsi="Palatino Linotype" w:cs="Times New Roman"/>
          <w:b/>
          <w:bCs/>
          <w:sz w:val="24"/>
          <w:szCs w:val="28"/>
          <w:shd w:val="clear" w:color="auto" w:fill="FFFFFF"/>
          <w:vertAlign w:val="subscript"/>
        </w:rPr>
        <w:t>x</w:t>
      </w:r>
      <w:r w:rsidRPr="00D25532">
        <w:rPr>
          <w:rFonts w:ascii="Palatino Linotype" w:hAnsi="Palatino Linotype" w:cs="Times New Roman"/>
          <w:b/>
          <w:bCs/>
          <w:sz w:val="24"/>
          <w:szCs w:val="28"/>
          <w:shd w:val="clear" w:color="auto" w:fill="FFFFFF"/>
        </w:rPr>
        <w:t xml:space="preserve"> correction before the </w:t>
      </w:r>
      <w:r>
        <w:rPr>
          <w:rFonts w:ascii="Palatino Linotype" w:hAnsi="Palatino Linotype" w:cs="Times New Roman"/>
          <w:b/>
          <w:bCs/>
          <w:sz w:val="24"/>
          <w:szCs w:val="28"/>
          <w:shd w:val="clear" w:color="auto" w:fill="FFFFFF"/>
        </w:rPr>
        <w:t>HCHO</w:t>
      </w:r>
      <w:r w:rsidRPr="00D25532">
        <w:rPr>
          <w:rFonts w:ascii="Palatino Linotype" w:hAnsi="Palatino Linotype" w:cs="Times New Roman"/>
          <w:b/>
          <w:bCs/>
          <w:sz w:val="24"/>
          <w:szCs w:val="28"/>
          <w:shd w:val="clear" w:color="auto" w:fill="FFFFFF"/>
        </w:rPr>
        <w:t xml:space="preserve">-based VOC correction, and to explain why the </w:t>
      </w:r>
      <w:r w:rsidRPr="00D25532">
        <w:rPr>
          <w:rFonts w:ascii="Palatino Linotype" w:hAnsi="Palatino Linotype" w:cs="Times New Roman"/>
          <w:b/>
          <w:bCs/>
          <w:sz w:val="24"/>
          <w:szCs w:val="28"/>
          <w:shd w:val="clear" w:color="auto" w:fill="FFFFFF"/>
        </w:rPr>
        <w:lastRenderedPageBreak/>
        <w:t>FDMB step was applied as a single-step spatial preconditioning procedure rather than as a simultaneous iterative inversion.</w:t>
      </w:r>
    </w:p>
    <w:p w14:paraId="4E1B97CB" w14:textId="5E4BD2B4" w:rsidR="001B2F3C" w:rsidRPr="00964E09" w:rsidRDefault="001B2F3C" w:rsidP="001B2F3C">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&lt;Section 2.</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1</w:t>
      </w:r>
      <w:r w:rsidRPr="00964E09">
        <w:rPr>
          <w:rFonts w:ascii="Palatino Linotype" w:hAnsi="Palatino Linotype" w:cs="Times New Roman"/>
          <w:i/>
          <w:color w:val="0A0A0A"/>
          <w:sz w:val="24"/>
          <w:szCs w:val="24"/>
          <w:shd w:val="clear" w:color="auto" w:fill="FEFEFE"/>
        </w:rPr>
        <w:t xml:space="preserve"> in the revised manuscript&gt;</w:t>
      </w:r>
    </w:p>
    <w:p w14:paraId="5E6C219C" w14:textId="41A4E610" w:rsidR="007B4C09" w:rsidRDefault="007B4C09" w:rsidP="003C3A37">
      <w:pPr>
        <w:widowControl/>
        <w:wordWrap/>
        <w:autoSpaceDE/>
        <w:autoSpaceDN/>
        <w:spacing w:line="276" w:lineRule="auto"/>
        <w:rPr>
          <w:rFonts w:ascii="Palatino Linotype" w:hAnsi="Palatino Linotype" w:cs="Times New Roman"/>
          <w:i/>
          <w:iCs/>
          <w:sz w:val="24"/>
          <w:szCs w:val="28"/>
          <w:shd w:val="clear" w:color="auto" w:fill="FFFFFF"/>
        </w:rPr>
      </w:pPr>
      <w:r w:rsidRPr="007B4C09">
        <w:rPr>
          <w:rFonts w:ascii="Palatino Linotype" w:hAnsi="Palatino Linotype" w:cs="Times New Roman"/>
          <w:i/>
          <w:iCs/>
          <w:sz w:val="24"/>
          <w:szCs w:val="28"/>
          <w:shd w:val="clear" w:color="auto" w:fill="FFFFFF"/>
        </w:rPr>
        <w:t>In this study, we applied the FDMB inversion to constrain NOx and VOC emissions. To mitigate potential inversion errors arising from the highly non-linear dependence of HCHO production on background NO</w:t>
      </w:r>
      <w:r w:rsidRPr="007B4C09">
        <w:rPr>
          <w:rFonts w:ascii="Palatino Linotype" w:hAnsi="Palatino Linotype" w:cs="Times New Roman"/>
          <w:i/>
          <w:iCs/>
          <w:sz w:val="24"/>
          <w:szCs w:val="28"/>
          <w:shd w:val="clear" w:color="auto" w:fill="FFFFFF"/>
          <w:vertAlign w:val="subscript"/>
        </w:rPr>
        <w:t>x</w:t>
      </w:r>
      <w:r w:rsidRPr="007B4C09">
        <w:rPr>
          <w:rFonts w:ascii="Palatino Linotype" w:hAnsi="Palatino Linotype" w:cs="Times New Roman"/>
          <w:i/>
          <w:iCs/>
          <w:sz w:val="24"/>
          <w:szCs w:val="28"/>
          <w:shd w:val="clear" w:color="auto" w:fill="FFFFFF"/>
        </w:rPr>
        <w:t xml:space="preserve"> concentrations (Wolfe et al., 2016), we sequenced the initial mass-balance step by optimizing NO</w:t>
      </w:r>
      <w:r w:rsidRPr="007B4C09">
        <w:rPr>
          <w:rFonts w:ascii="Palatino Linotype" w:hAnsi="Palatino Linotype" w:cs="Times New Roman"/>
          <w:i/>
          <w:iCs/>
          <w:sz w:val="24"/>
          <w:szCs w:val="28"/>
          <w:shd w:val="clear" w:color="auto" w:fill="FFFFFF"/>
          <w:vertAlign w:val="subscript"/>
        </w:rPr>
        <w:t>x</w:t>
      </w:r>
      <w:r w:rsidRPr="007B4C09">
        <w:rPr>
          <w:rFonts w:ascii="Palatino Linotype" w:hAnsi="Palatino Linotype" w:cs="Times New Roman"/>
          <w:i/>
          <w:iCs/>
          <w:sz w:val="24"/>
          <w:szCs w:val="28"/>
          <w:shd w:val="clear" w:color="auto" w:fill="FFFFFF"/>
        </w:rPr>
        <w:t xml:space="preserve"> prior to VOCs. Specifically, we first derived an emission factor for NO</w:t>
      </w:r>
      <w:r w:rsidRPr="007B4C09">
        <w:rPr>
          <w:rFonts w:ascii="Palatino Linotype" w:hAnsi="Palatino Linotype" w:cs="Times New Roman"/>
          <w:i/>
          <w:iCs/>
          <w:sz w:val="24"/>
          <w:szCs w:val="28"/>
          <w:shd w:val="clear" w:color="auto" w:fill="FFFFFF"/>
          <w:vertAlign w:val="subscript"/>
        </w:rPr>
        <w:t>x</w:t>
      </w:r>
      <w:r w:rsidRPr="007B4C09">
        <w:rPr>
          <w:rFonts w:ascii="Palatino Linotype" w:hAnsi="Palatino Linotype" w:cs="Times New Roman"/>
          <w:i/>
          <w:iCs/>
          <w:sz w:val="24"/>
          <w:szCs w:val="28"/>
          <w:shd w:val="clear" w:color="auto" w:fill="FFFFFF"/>
        </w:rPr>
        <w:t xml:space="preserve"> based on the sensitivity of NO</w:t>
      </w:r>
      <w:r w:rsidRPr="007B4C09">
        <w:rPr>
          <w:rFonts w:ascii="Palatino Linotype" w:hAnsi="Palatino Linotype" w:cs="Times New Roman"/>
          <w:i/>
          <w:iCs/>
          <w:sz w:val="24"/>
          <w:szCs w:val="28"/>
          <w:shd w:val="clear" w:color="auto" w:fill="FFFFFF"/>
          <w:vertAlign w:val="subscript"/>
        </w:rPr>
        <w:t>2</w:t>
      </w:r>
      <w:r w:rsidRPr="007B4C09">
        <w:rPr>
          <w:rFonts w:ascii="Palatino Linotype" w:hAnsi="Palatino Linotype" w:cs="Times New Roman"/>
          <w:i/>
          <w:iCs/>
          <w:sz w:val="24"/>
          <w:szCs w:val="28"/>
          <w:shd w:val="clear" w:color="auto" w:fill="FFFFFF"/>
        </w:rPr>
        <w:t xml:space="preserve"> columns to NO</w:t>
      </w:r>
      <w:r w:rsidRPr="007B4C09">
        <w:rPr>
          <w:rFonts w:ascii="Palatino Linotype" w:hAnsi="Palatino Linotype" w:cs="Times New Roman"/>
          <w:i/>
          <w:iCs/>
          <w:sz w:val="24"/>
          <w:szCs w:val="28"/>
          <w:shd w:val="clear" w:color="auto" w:fill="FFFFFF"/>
          <w:vertAlign w:val="subscript"/>
        </w:rPr>
        <w:t>x</w:t>
      </w:r>
      <w:r w:rsidRPr="007B4C09">
        <w:rPr>
          <w:rFonts w:ascii="Palatino Linotype" w:hAnsi="Palatino Linotype" w:cs="Times New Roman"/>
          <w:i/>
          <w:iCs/>
          <w:sz w:val="24"/>
          <w:szCs w:val="28"/>
          <w:shd w:val="clear" w:color="auto" w:fill="FFFFFF"/>
        </w:rPr>
        <w:t xml:space="preserve"> emissions (Eq. (5)). Establishing this updated NO</w:t>
      </w:r>
      <w:r w:rsidRPr="007B4C09">
        <w:rPr>
          <w:rFonts w:ascii="Palatino Linotype" w:hAnsi="Palatino Linotype" w:cs="Times New Roman"/>
          <w:i/>
          <w:iCs/>
          <w:sz w:val="24"/>
          <w:szCs w:val="28"/>
          <w:shd w:val="clear" w:color="auto" w:fill="FFFFFF"/>
          <w:vertAlign w:val="subscript"/>
        </w:rPr>
        <w:t>x</w:t>
      </w:r>
      <w:r w:rsidRPr="007B4C09">
        <w:rPr>
          <w:rFonts w:ascii="Palatino Linotype" w:hAnsi="Palatino Linotype" w:cs="Times New Roman"/>
          <w:i/>
          <w:iCs/>
          <w:sz w:val="24"/>
          <w:szCs w:val="28"/>
          <w:shd w:val="clear" w:color="auto" w:fill="FFFFFF"/>
        </w:rPr>
        <w:t xml:space="preserve"> baseline in the forward model effectively reduces the non-linearities associated with HCHO yields. Following this, we corrected VOC emissions using HCHO columns as observational constraints. For this step, total VOC emissions were separated into anthropogenic (AVOC) and biogenic (BVOC) categories, as their distinct species compositions lead to different HCHO responses (Millet et al., 2006; Choi et al., 2022; </w:t>
      </w:r>
      <w:proofErr w:type="spellStart"/>
      <w:r w:rsidRPr="007B4C09">
        <w:rPr>
          <w:rFonts w:ascii="Palatino Linotype" w:hAnsi="Palatino Linotype" w:cs="Times New Roman"/>
          <w:i/>
          <w:iCs/>
          <w:sz w:val="24"/>
          <w:szCs w:val="28"/>
          <w:shd w:val="clear" w:color="auto" w:fill="FFFFFF"/>
        </w:rPr>
        <w:t>Oomen</w:t>
      </w:r>
      <w:proofErr w:type="spellEnd"/>
      <w:r w:rsidRPr="007B4C09">
        <w:rPr>
          <w:rFonts w:ascii="Palatino Linotype" w:hAnsi="Palatino Linotype" w:cs="Times New Roman"/>
          <w:i/>
          <w:iCs/>
          <w:sz w:val="24"/>
          <w:szCs w:val="28"/>
          <w:shd w:val="clear" w:color="auto" w:fill="FFFFFF"/>
        </w:rPr>
        <w:t xml:space="preserve"> et al., 2024).</w:t>
      </w:r>
    </w:p>
    <w:p w14:paraId="7727C1A6" w14:textId="68CAF6C7" w:rsidR="008A7F77" w:rsidRDefault="0067399B" w:rsidP="003C3A37">
      <w:pPr>
        <w:widowControl/>
        <w:wordWrap/>
        <w:autoSpaceDE/>
        <w:autoSpaceDN/>
        <w:spacing w:line="276" w:lineRule="auto"/>
        <w:rPr>
          <w:rFonts w:ascii="Palatino Linotype" w:hAnsi="Palatino Linotype" w:cs="Times New Roman"/>
          <w:i/>
          <w:iCs/>
          <w:sz w:val="24"/>
          <w:szCs w:val="28"/>
          <w:shd w:val="clear" w:color="auto" w:fill="FFFFFF"/>
        </w:rPr>
      </w:pPr>
      <w:r w:rsidRPr="0067399B">
        <w:rPr>
          <w:rFonts w:ascii="Palatino Linotype" w:hAnsi="Palatino Linotype" w:cs="Times New Roman"/>
          <w:i/>
          <w:iCs/>
          <w:sz w:val="24"/>
          <w:szCs w:val="28"/>
          <w:shd w:val="clear" w:color="auto" w:fill="FFFFFF"/>
        </w:rPr>
        <w:t>While iterative applications of the mass balance method can theoretically reduce spatial smearing errors, localized scaling factors become highly vulnerable to overfitting this observation noise when applied at fine model resolutions, such as our 9 km grid. A pseudo-observation test conducted by Moon (2025) demonstrated that iterating the FDMB framework at this high resolution paradoxically increased emission errors due to the propagation of residual noise through repeated updates.</w:t>
      </w:r>
    </w:p>
    <w:p w14:paraId="200076C0" w14:textId="39C78BCA" w:rsidR="001A5AEB" w:rsidRDefault="001A5AEB">
      <w:pPr>
        <w:widowControl/>
        <w:wordWrap/>
        <w:autoSpaceDE/>
        <w:autoSpaceDN/>
        <w:rPr>
          <w:rFonts w:ascii="Palatino Linotype" w:hAnsi="Palatino Linotype" w:cs="Times New Roman"/>
          <w:i/>
          <w:iCs/>
          <w:sz w:val="24"/>
          <w:szCs w:val="28"/>
          <w:shd w:val="clear" w:color="auto" w:fill="FFFFFF"/>
        </w:rPr>
      </w:pPr>
      <w:r>
        <w:rPr>
          <w:rFonts w:ascii="Palatino Linotype" w:hAnsi="Palatino Linotype" w:cs="Times New Roman"/>
          <w:i/>
          <w:iCs/>
          <w:sz w:val="24"/>
          <w:szCs w:val="28"/>
          <w:shd w:val="clear" w:color="auto" w:fill="FFFFFF"/>
        </w:rPr>
        <w:br w:type="page"/>
      </w:r>
    </w:p>
    <w:p w14:paraId="4B351C0F" w14:textId="75523DE0" w:rsidR="00D25834" w:rsidRDefault="00E5526A" w:rsidP="00D25834">
      <w:pPr>
        <w:widowControl/>
        <w:wordWrap/>
        <w:autoSpaceDE/>
        <w:autoSpaceDN/>
        <w:rPr>
          <w:rFonts w:ascii="Palatino Linotype" w:eastAsia="굴림" w:hAnsi="Palatino Linotype" w:cs="Times New Roman"/>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Pr>
          <w:rFonts w:ascii="Palatino Linotype" w:eastAsia="굴림" w:hAnsi="Palatino Linotype" w:cs="Times New Roman"/>
          <w:b/>
          <w:bCs/>
          <w:color w:val="0A0A0A"/>
          <w:kern w:val="0"/>
          <w:sz w:val="24"/>
          <w:szCs w:val="24"/>
        </w:rPr>
        <w:t xml:space="preserve"> 2</w:t>
      </w:r>
    </w:p>
    <w:p w14:paraId="3C606EC3" w14:textId="7B15BB86" w:rsidR="00217FCB" w:rsidRDefault="00E54096" w:rsidP="00D25834">
      <w:pPr>
        <w:widowControl/>
        <w:wordWrap/>
        <w:autoSpaceDE/>
        <w:autoSpaceDN/>
        <w:rPr>
          <w:rFonts w:ascii="Palatino Linotype" w:eastAsia="굴림" w:hAnsi="Palatino Linotype" w:cs="Times New Roman"/>
          <w:color w:val="0A0A0A"/>
          <w:kern w:val="0"/>
          <w:sz w:val="24"/>
          <w:szCs w:val="24"/>
        </w:rPr>
      </w:pPr>
      <w:r w:rsidRPr="00E54096">
        <w:rPr>
          <w:rFonts w:ascii="Palatino Linotype" w:eastAsia="굴림" w:hAnsi="Palatino Linotype" w:cs="Times New Roman"/>
          <w:color w:val="0A0A0A"/>
          <w:kern w:val="0"/>
          <w:sz w:val="24"/>
          <w:szCs w:val="24"/>
        </w:rPr>
        <w:t xml:space="preserve">Eq 8: It seems to me that </w:t>
      </w:r>
      <m:oMath>
        <m:sSub>
          <m:sSubPr>
            <m:ctrlPr>
              <w:rPr>
                <w:rFonts w:ascii="Cambria Math" w:eastAsia="굴림" w:hAnsi="Cambria Math" w:cs="Times New Roman"/>
                <w:i/>
                <w:color w:val="0A0A0A"/>
                <w:kern w:val="0"/>
                <w:sz w:val="24"/>
                <w:szCs w:val="24"/>
              </w:rPr>
            </m:ctrlPr>
          </m:sSubPr>
          <m:e>
            <m:r>
              <w:rPr>
                <w:rFonts w:ascii="Cambria Math" w:eastAsia="굴림" w:hAnsi="Cambria Math" w:cs="Times New Roman"/>
                <w:color w:val="0A0A0A"/>
                <w:kern w:val="0"/>
                <w:sz w:val="24"/>
                <w:szCs w:val="24"/>
              </w:rPr>
              <m:t>e</m:t>
            </m:r>
          </m:e>
          <m:sub>
            <m:r>
              <w:rPr>
                <w:rFonts w:ascii="Cambria Math" w:eastAsia="굴림" w:hAnsi="Cambria Math" w:cs="Times New Roman"/>
                <w:color w:val="0A0A0A"/>
                <w:kern w:val="0"/>
                <w:sz w:val="24"/>
                <w:szCs w:val="24"/>
              </w:rPr>
              <m:t>i</m:t>
            </m:r>
          </m:sub>
        </m:sSub>
      </m:oMath>
      <w:r w:rsidRPr="00E54096">
        <w:rPr>
          <w:rFonts w:ascii="Palatino Linotype" w:eastAsia="굴림" w:hAnsi="Palatino Linotype" w:cs="Times New Roman"/>
          <w:color w:val="0A0A0A"/>
          <w:kern w:val="0"/>
          <w:sz w:val="24"/>
          <w:szCs w:val="24"/>
        </w:rPr>
        <w:t xml:space="preserve"> is an emission within some time window defined as </w:t>
      </w:r>
      <m:oMath>
        <m:r>
          <w:rPr>
            <w:rFonts w:ascii="Cambria Math" w:eastAsia="굴림" w:hAnsi="Cambria Math" w:cs="Times New Roman"/>
            <w:color w:val="0A0A0A"/>
            <w:kern w:val="0"/>
            <w:sz w:val="24"/>
            <w:szCs w:val="24"/>
          </w:rPr>
          <m:t>t</m:t>
        </m:r>
      </m:oMath>
      <w:r w:rsidRPr="00E54096">
        <w:rPr>
          <w:rFonts w:ascii="Palatino Linotype" w:eastAsia="굴림" w:hAnsi="Palatino Linotype" w:cs="Times New Roman"/>
          <w:color w:val="0A0A0A"/>
          <w:kern w:val="0"/>
          <w:sz w:val="24"/>
          <w:szCs w:val="24"/>
        </w:rPr>
        <w:t xml:space="preserve"> t</w:t>
      </w:r>
      <w:r>
        <w:rPr>
          <w:rFonts w:ascii="Palatino Linotype" w:eastAsia="굴림" w:hAnsi="Palatino Linotype" w:cs="Times New Roman"/>
          <w:color w:val="0A0A0A"/>
          <w:kern w:val="0"/>
          <w:sz w:val="24"/>
          <w:szCs w:val="24"/>
        </w:rPr>
        <w:t xml:space="preserve">o </w:t>
      </w:r>
      <m:oMath>
        <m:r>
          <w:rPr>
            <w:rFonts w:ascii="Cambria Math" w:eastAsia="굴림" w:hAnsi="Cambria Math" w:cs="Times New Roman"/>
            <w:color w:val="0A0A0A"/>
            <w:kern w:val="0"/>
            <w:sz w:val="24"/>
            <w:szCs w:val="24"/>
          </w:rPr>
          <m:t>t-1</m:t>
        </m:r>
      </m:oMath>
      <w:r w:rsidRPr="00E54096">
        <w:rPr>
          <w:rFonts w:ascii="Palatino Linotype" w:eastAsia="굴림" w:hAnsi="Palatino Linotype" w:cs="Times New Roman"/>
          <w:color w:val="0A0A0A"/>
          <w:kern w:val="0"/>
          <w:sz w:val="24"/>
          <w:szCs w:val="24"/>
        </w:rPr>
        <w:t xml:space="preserve">, and n is the total number of time windows. It would be useful to clarify this, and also state what is the time window (1 hour? 1 day?) and how many are there in total (n)? Also, relating </w:t>
      </w:r>
      <m:oMath>
        <m:sSub>
          <m:sSubPr>
            <m:ctrlPr>
              <w:rPr>
                <w:rFonts w:ascii="Cambria Math" w:eastAsia="굴림" w:hAnsi="Cambria Math" w:cs="Times New Roman"/>
                <w:i/>
                <w:color w:val="0A0A0A"/>
                <w:kern w:val="0"/>
                <w:sz w:val="24"/>
                <w:szCs w:val="24"/>
              </w:rPr>
            </m:ctrlPr>
          </m:sSubPr>
          <m:e>
            <m:r>
              <w:rPr>
                <w:rFonts w:ascii="Cambria Math" w:eastAsia="굴림" w:hAnsi="Cambria Math" w:cs="Times New Roman"/>
                <w:color w:val="0A0A0A"/>
                <w:kern w:val="0"/>
                <w:sz w:val="24"/>
                <w:szCs w:val="24"/>
              </w:rPr>
              <m:t>y</m:t>
            </m:r>
          </m:e>
          <m:sub>
            <m:r>
              <w:rPr>
                <w:rFonts w:ascii="Cambria Math" w:eastAsia="굴림" w:hAnsi="Cambria Math" w:cs="Times New Roman"/>
                <w:color w:val="0A0A0A"/>
                <w:kern w:val="0"/>
                <w:sz w:val="24"/>
                <w:szCs w:val="24"/>
              </w:rPr>
              <m:t>i</m:t>
            </m:r>
          </m:sub>
        </m:sSub>
      </m:oMath>
      <w:r w:rsidRPr="00E54096">
        <w:rPr>
          <w:rFonts w:ascii="Palatino Linotype" w:eastAsia="굴림" w:hAnsi="Palatino Linotype" w:cs="Times New Roman"/>
          <w:color w:val="0A0A0A"/>
          <w:kern w:val="0"/>
          <w:sz w:val="24"/>
          <w:szCs w:val="24"/>
        </w:rPr>
        <w:t xml:space="preserve"> to </w:t>
      </w:r>
      <m:oMath>
        <m:sSub>
          <m:sSubPr>
            <m:ctrlPr>
              <w:rPr>
                <w:rFonts w:ascii="Cambria Math" w:eastAsia="굴림" w:hAnsi="Cambria Math" w:cs="Times New Roman"/>
                <w:i/>
                <w:color w:val="0A0A0A"/>
                <w:kern w:val="0"/>
                <w:sz w:val="24"/>
                <w:szCs w:val="24"/>
              </w:rPr>
            </m:ctrlPr>
          </m:sSubPr>
          <m:e>
            <m:r>
              <w:rPr>
                <w:rFonts w:ascii="Cambria Math" w:eastAsia="굴림" w:hAnsi="Cambria Math" w:cs="Times New Roman"/>
                <w:color w:val="0A0A0A"/>
                <w:kern w:val="0"/>
                <w:sz w:val="24"/>
                <w:szCs w:val="24"/>
              </w:rPr>
              <m:t>H</m:t>
            </m:r>
          </m:e>
          <m:sub>
            <m:r>
              <w:rPr>
                <w:rFonts w:ascii="Cambria Math" w:eastAsia="굴림" w:hAnsi="Cambria Math" w:cs="Times New Roman"/>
                <w:color w:val="0A0A0A"/>
                <w:kern w:val="0"/>
                <w:sz w:val="24"/>
                <w:szCs w:val="24"/>
              </w:rPr>
              <m:t>i-1</m:t>
            </m:r>
          </m:sub>
        </m:sSub>
      </m:oMath>
      <w:r w:rsidRPr="00E54096">
        <w:rPr>
          <w:rFonts w:ascii="Palatino Linotype" w:eastAsia="굴림" w:hAnsi="Palatino Linotype" w:cs="Times New Roman"/>
          <w:color w:val="0A0A0A"/>
          <w:kern w:val="0"/>
          <w:sz w:val="24"/>
          <w:szCs w:val="24"/>
        </w:rPr>
        <w:t>(</w:t>
      </w:r>
      <m:oMath>
        <m:sSub>
          <m:sSubPr>
            <m:ctrlPr>
              <w:rPr>
                <w:rFonts w:ascii="Cambria Math" w:eastAsia="굴림" w:hAnsi="Cambria Math" w:cs="Times New Roman"/>
                <w:i/>
                <w:color w:val="0A0A0A"/>
                <w:kern w:val="0"/>
                <w:sz w:val="24"/>
                <w:szCs w:val="24"/>
              </w:rPr>
            </m:ctrlPr>
          </m:sSubPr>
          <m:e>
            <m:r>
              <w:rPr>
                <w:rFonts w:ascii="Cambria Math" w:eastAsia="굴림" w:hAnsi="Cambria Math" w:cs="Times New Roman"/>
                <w:color w:val="0A0A0A"/>
                <w:kern w:val="0"/>
                <w:sz w:val="24"/>
                <w:szCs w:val="24"/>
              </w:rPr>
              <m:t>e</m:t>
            </m:r>
          </m:e>
          <m:sub>
            <m:r>
              <w:rPr>
                <w:rFonts w:ascii="Cambria Math" w:eastAsia="굴림" w:hAnsi="Cambria Math" w:cs="Times New Roman"/>
                <w:color w:val="0A0A0A"/>
                <w:kern w:val="0"/>
                <w:sz w:val="24"/>
                <w:szCs w:val="24"/>
              </w:rPr>
              <m:t>i-1</m:t>
            </m:r>
          </m:sub>
        </m:sSub>
      </m:oMath>
      <w:r w:rsidRPr="00E54096">
        <w:rPr>
          <w:rFonts w:ascii="Palatino Linotype" w:eastAsia="굴림" w:hAnsi="Palatino Linotype" w:cs="Times New Roman"/>
          <w:color w:val="0A0A0A"/>
          <w:kern w:val="0"/>
          <w:sz w:val="24"/>
          <w:szCs w:val="24"/>
        </w:rPr>
        <w:t xml:space="preserve">) doesn’t seem correct, unless the time window between i and i-1 is longer than the lifetime of the species in question. Otherwise, the estimate of the observation at </w:t>
      </w:r>
      <m:oMath>
        <m:sSub>
          <m:sSubPr>
            <m:ctrlPr>
              <w:rPr>
                <w:rFonts w:ascii="Cambria Math" w:eastAsia="굴림" w:hAnsi="Cambria Math" w:cs="Times New Roman"/>
                <w:i/>
                <w:color w:val="0A0A0A"/>
                <w:kern w:val="0"/>
                <w:sz w:val="24"/>
                <w:szCs w:val="24"/>
              </w:rPr>
            </m:ctrlPr>
          </m:sSubPr>
          <m:e>
            <m:r>
              <w:rPr>
                <w:rFonts w:ascii="Cambria Math" w:eastAsia="굴림" w:hAnsi="Cambria Math" w:cs="Times New Roman"/>
                <w:color w:val="0A0A0A"/>
                <w:kern w:val="0"/>
                <w:sz w:val="24"/>
                <w:szCs w:val="24"/>
              </w:rPr>
              <m:t>y</m:t>
            </m:r>
          </m:e>
          <m:sub>
            <m:r>
              <w:rPr>
                <w:rFonts w:ascii="Cambria Math" w:eastAsia="굴림" w:hAnsi="Cambria Math" w:cs="Times New Roman"/>
                <w:color w:val="0A0A0A"/>
                <w:kern w:val="0"/>
                <w:sz w:val="24"/>
                <w:szCs w:val="24"/>
              </w:rPr>
              <m:t>i</m:t>
            </m:r>
          </m:sub>
        </m:sSub>
      </m:oMath>
      <w:r w:rsidRPr="00E54096">
        <w:rPr>
          <w:rFonts w:ascii="Palatino Linotype" w:eastAsia="굴림" w:hAnsi="Palatino Linotype" w:cs="Times New Roman"/>
          <w:color w:val="0A0A0A"/>
          <w:kern w:val="0"/>
          <w:sz w:val="24"/>
          <w:szCs w:val="24"/>
        </w:rPr>
        <w:t xml:space="preserve"> would be impacted by emissions at times i-1, i-2, i-3, etc.  </w:t>
      </w:r>
    </w:p>
    <w:p w14:paraId="6FB6FFA6" w14:textId="632A4B54" w:rsidR="00E54096" w:rsidRPr="00D25834" w:rsidRDefault="00E54096" w:rsidP="00D25834">
      <w:pPr>
        <w:widowControl/>
        <w:wordWrap/>
        <w:autoSpaceDE/>
        <w:autoSpaceDN/>
        <w:rPr>
          <w:rFonts w:ascii="Palatino Linotype" w:eastAsia="굴림" w:hAnsi="Palatino Linotype" w:cs="Times New Roman"/>
          <w:color w:val="0A0A0A"/>
          <w:kern w:val="0"/>
          <w:sz w:val="24"/>
          <w:szCs w:val="24"/>
        </w:rPr>
      </w:pPr>
      <w:r w:rsidRPr="00E54096">
        <w:rPr>
          <w:rFonts w:ascii="Palatino Linotype" w:eastAsia="굴림" w:hAnsi="Palatino Linotype" w:cs="Times New Roman"/>
          <w:color w:val="0A0A0A"/>
          <w:kern w:val="0"/>
          <w:sz w:val="24"/>
          <w:szCs w:val="24"/>
        </w:rPr>
        <w:t xml:space="preserve">I guess from line 201 that the difference between time </w:t>
      </w:r>
      <w:proofErr w:type="spellStart"/>
      <w:r w:rsidRPr="00E54096">
        <w:rPr>
          <w:rFonts w:ascii="Palatino Linotype" w:eastAsia="굴림" w:hAnsi="Palatino Linotype" w:cs="Times New Roman"/>
          <w:color w:val="0A0A0A"/>
          <w:kern w:val="0"/>
          <w:sz w:val="24"/>
          <w:szCs w:val="24"/>
        </w:rPr>
        <w:t>i</w:t>
      </w:r>
      <w:proofErr w:type="spellEnd"/>
      <w:r w:rsidRPr="00E54096">
        <w:rPr>
          <w:rFonts w:ascii="Palatino Linotype" w:eastAsia="굴림" w:hAnsi="Palatino Linotype" w:cs="Times New Roman"/>
          <w:color w:val="0A0A0A"/>
          <w:kern w:val="0"/>
          <w:sz w:val="24"/>
          <w:szCs w:val="24"/>
        </w:rPr>
        <w:t xml:space="preserve"> and i-1 is 24 hours, in which case it is very incorrect when assimilating AQMS O</w:t>
      </w:r>
      <w:r w:rsidRPr="002023F1">
        <w:rPr>
          <w:rFonts w:ascii="Palatino Linotype" w:eastAsia="굴림" w:hAnsi="Palatino Linotype" w:cs="Times New Roman"/>
          <w:color w:val="0A0A0A"/>
          <w:kern w:val="0"/>
          <w:sz w:val="24"/>
          <w:szCs w:val="24"/>
          <w:vertAlign w:val="subscript"/>
        </w:rPr>
        <w:t>3</w:t>
      </w:r>
      <w:r w:rsidRPr="00E54096">
        <w:rPr>
          <w:rFonts w:ascii="Palatino Linotype" w:eastAsia="굴림" w:hAnsi="Palatino Linotype" w:cs="Times New Roman"/>
          <w:color w:val="0A0A0A"/>
          <w:kern w:val="0"/>
          <w:sz w:val="24"/>
          <w:szCs w:val="24"/>
        </w:rPr>
        <w:t xml:space="preserve"> observations to assume that only emission e_{i-1} would impact the model estimate that corresponds to observation </w:t>
      </w:r>
      <w:proofErr w:type="spellStart"/>
      <w:r w:rsidRPr="00E54096">
        <w:rPr>
          <w:rFonts w:ascii="Palatino Linotype" w:eastAsia="굴림" w:hAnsi="Palatino Linotype" w:cs="Times New Roman"/>
          <w:color w:val="0A0A0A"/>
          <w:kern w:val="0"/>
          <w:sz w:val="24"/>
          <w:szCs w:val="24"/>
        </w:rPr>
        <w:t>y_i</w:t>
      </w:r>
      <w:proofErr w:type="spellEnd"/>
      <w:r w:rsidRPr="00E54096">
        <w:rPr>
          <w:rFonts w:ascii="Palatino Linotype" w:eastAsia="굴림" w:hAnsi="Palatino Linotype" w:cs="Times New Roman"/>
          <w:color w:val="0A0A0A"/>
          <w:kern w:val="0"/>
          <w:sz w:val="24"/>
          <w:szCs w:val="24"/>
        </w:rPr>
        <w:t>. I don’t know if this is just an issue with how the authors wrote out this equation, or if they actually conducted the inversion this way (which wouldn’t seem correct); hopefully just the former.</w:t>
      </w:r>
    </w:p>
    <w:p w14:paraId="40E0A7AD" w14:textId="77777777" w:rsidR="00E5526A" w:rsidRDefault="00E5526A" w:rsidP="00D25834">
      <w:pPr>
        <w:widowControl/>
        <w:wordWrap/>
        <w:autoSpaceDE/>
        <w:autoSpaceDN/>
        <w:rPr>
          <w:rFonts w:ascii="Palatino Linotype" w:eastAsia="굴림" w:hAnsi="Palatino Linotype" w:cs="Times New Roman"/>
          <w:color w:val="0A0A0A"/>
          <w:kern w:val="0"/>
          <w:sz w:val="24"/>
          <w:szCs w:val="24"/>
        </w:rPr>
      </w:pPr>
    </w:p>
    <w:p w14:paraId="3454AE2F" w14:textId="28B870D3" w:rsidR="001B5539" w:rsidRPr="00214E36" w:rsidRDefault="00FF2430" w:rsidP="001B5539">
      <w:pPr>
        <w:widowControl/>
        <w:wordWrap/>
        <w:autoSpaceDE/>
        <w:autoSpaceDN/>
        <w:rPr>
          <w:rFonts w:ascii="Palatino Linotype" w:hAnsi="Palatino Linotype" w:cs="Times New Roman"/>
          <w:b/>
          <w:bCs/>
          <w:sz w:val="24"/>
          <w:szCs w:val="24"/>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sidR="001B5539" w:rsidRPr="001B5539">
        <w:t xml:space="preserve"> </w:t>
      </w:r>
      <w:r w:rsidR="001B5539" w:rsidRPr="001B5539">
        <w:rPr>
          <w:rFonts w:ascii="Palatino Linotype" w:hAnsi="Palatino Linotype" w:cs="Times New Roman"/>
          <w:b/>
          <w:bCs/>
          <w:sz w:val="24"/>
          <w:szCs w:val="28"/>
          <w:shd w:val="clear" w:color="auto" w:fill="FFFFFF"/>
        </w:rPr>
        <w:t xml:space="preserve">We sincerely thank the reviewer for this important and insightful comment. We agree that the original notation in Eq. (8) was misleading and did not sufficiently describe how the temporal evolution of emissions and concentrations was represented in the 4D-Var inversion. In particular, the previous expression could be interpreted as if the simulated observation at time </w:t>
      </w:r>
      <w:proofErr w:type="spellStart"/>
      <w:r w:rsidR="001B5539" w:rsidRPr="001B5539">
        <w:rPr>
          <w:rFonts w:ascii="Palatino Linotype" w:hAnsi="Palatino Linotype" w:cs="Times New Roman"/>
          <w:b/>
          <w:bCs/>
          <w:sz w:val="24"/>
          <w:szCs w:val="28"/>
          <w:shd w:val="clear" w:color="auto" w:fill="FFFFFF"/>
        </w:rPr>
        <w:t>i</w:t>
      </w:r>
      <w:proofErr w:type="spellEnd"/>
      <w:r w:rsidR="001B5539" w:rsidRPr="001B5539">
        <w:rPr>
          <w:rFonts w:ascii="Palatino Linotype" w:hAnsi="Palatino Linotype" w:cs="Times New Roman"/>
          <w:b/>
          <w:bCs/>
          <w:sz w:val="24"/>
          <w:szCs w:val="28"/>
          <w:shd w:val="clear" w:color="auto" w:fill="FFFFFF"/>
        </w:rPr>
        <w:t xml:space="preserve"> depended only on the emission at the immediately </w:t>
      </w:r>
      <w:r w:rsidR="001B5539" w:rsidRPr="00214E36">
        <w:rPr>
          <w:rFonts w:ascii="Palatino Linotype" w:hAnsi="Palatino Linotype" w:cs="Times New Roman"/>
          <w:b/>
          <w:bCs/>
          <w:sz w:val="24"/>
          <w:szCs w:val="24"/>
          <w:shd w:val="clear" w:color="auto" w:fill="FFFFFF"/>
        </w:rPr>
        <w:t xml:space="preserve">preceding time step, </w:t>
      </w:r>
      <m:oMath>
        <m:sSub>
          <m:sSubPr>
            <m:ctrlPr>
              <w:rPr>
                <w:rFonts w:ascii="Cambria Math" w:hAnsi="Cambria Math"/>
                <w:b/>
                <w:bCs/>
                <w:i/>
                <w:sz w:val="24"/>
                <w:szCs w:val="24"/>
              </w:rPr>
            </m:ctrlPr>
          </m:sSubPr>
          <m:e>
            <m:r>
              <m:rPr>
                <m:sty m:val="bi"/>
              </m:rPr>
              <w:rPr>
                <w:rFonts w:ascii="Cambria Math" w:hAnsi="Cambria Math"/>
                <w:sz w:val="24"/>
                <w:szCs w:val="24"/>
              </w:rPr>
              <m:t>e</m:t>
            </m:r>
          </m:e>
          <m:sub>
            <m:r>
              <m:rPr>
                <m:sty m:val="bi"/>
              </m:rPr>
              <w:rPr>
                <w:rFonts w:ascii="Cambria Math" w:hAnsi="Cambria Math"/>
                <w:sz w:val="24"/>
                <w:szCs w:val="24"/>
              </w:rPr>
              <m:t>i-1</m:t>
            </m:r>
          </m:sub>
        </m:sSub>
      </m:oMath>
      <w:r w:rsidR="001B5539" w:rsidRPr="00214E36">
        <w:rPr>
          <w:rFonts w:ascii="Palatino Linotype" w:hAnsi="Palatino Linotype" w:cs="Times New Roman"/>
          <w:b/>
          <w:bCs/>
          <w:sz w:val="24"/>
          <w:szCs w:val="24"/>
          <w:shd w:val="clear" w:color="auto" w:fill="FFFFFF"/>
        </w:rPr>
        <w:t>. This was an issue with the notation and description, not with the actual implementation of the inversion.</w:t>
      </w:r>
    </w:p>
    <w:p w14:paraId="516DFD9A" w14:textId="4996B2A7" w:rsidR="001B5539" w:rsidRPr="001B5539" w:rsidRDefault="001B5539" w:rsidP="001B5539">
      <w:pPr>
        <w:widowControl/>
        <w:wordWrap/>
        <w:autoSpaceDE/>
        <w:autoSpaceDN/>
        <w:rPr>
          <w:rFonts w:ascii="Palatino Linotype" w:hAnsi="Palatino Linotype" w:cs="Times New Roman"/>
          <w:b/>
          <w:bCs/>
          <w:sz w:val="24"/>
          <w:szCs w:val="28"/>
          <w:shd w:val="clear" w:color="auto" w:fill="FFFFFF"/>
        </w:rPr>
      </w:pPr>
      <w:r w:rsidRPr="00214E36">
        <w:rPr>
          <w:rFonts w:ascii="Palatino Linotype" w:hAnsi="Palatino Linotype" w:cs="Times New Roman"/>
          <w:b/>
          <w:bCs/>
          <w:sz w:val="24"/>
          <w:szCs w:val="24"/>
          <w:shd w:val="clear" w:color="auto" w:fill="FFFFFF"/>
        </w:rPr>
        <w:t xml:space="preserve">In the actual 4D-Var framework, the simulated observation is obtained from the evolving CMAQ concentration field, which is generated through forward model integration. Therefore, the concentration field at each observation time includes the accumulated effects of previous emissions, atmospheric transport, chemical transformation, and initial conditions. To clarify this point, we revised Eq. (8) by explicitly introducing the forward model integration operator, </w:t>
      </w:r>
      <m:oMath>
        <m:sSub>
          <m:sSubPr>
            <m:ctrlPr>
              <w:rPr>
                <w:rFonts w:ascii="Cambria Math" w:hAnsi="Cambria Math"/>
                <w:b/>
                <w:bCs/>
                <w:i/>
                <w:sz w:val="24"/>
                <w:szCs w:val="24"/>
              </w:rPr>
            </m:ctrlPr>
          </m:sSubPr>
          <m:e>
            <m:r>
              <m:rPr>
                <m:sty m:val="bi"/>
              </m:rPr>
              <w:rPr>
                <w:rFonts w:ascii="Cambria Math" w:hAnsi="Cambria Math"/>
                <w:sz w:val="24"/>
                <w:szCs w:val="24"/>
              </w:rPr>
              <m:t>M</m:t>
            </m:r>
          </m:e>
          <m:sub>
            <m:r>
              <m:rPr>
                <m:sty m:val="bi"/>
              </m:rPr>
              <w:rPr>
                <w:rFonts w:ascii="Cambria Math" w:hAnsi="Cambria Math"/>
                <w:sz w:val="24"/>
                <w:szCs w:val="24"/>
              </w:rPr>
              <m:t>i-1→i</m:t>
            </m:r>
          </m:sub>
        </m:sSub>
      </m:oMath>
      <w:r w:rsidRPr="00214E36">
        <w:rPr>
          <w:rFonts w:ascii="Palatino Linotype" w:hAnsi="Palatino Linotype" w:cs="Times New Roman"/>
          <w:b/>
          <w:bCs/>
          <w:sz w:val="24"/>
          <w:szCs w:val="24"/>
          <w:shd w:val="clear" w:color="auto" w:fill="FFFFFF"/>
        </w:rPr>
        <w:t>, such</w:t>
      </w:r>
      <w:r w:rsidRPr="001B5539">
        <w:rPr>
          <w:rFonts w:ascii="Palatino Linotype" w:hAnsi="Palatino Linotype" w:cs="Times New Roman"/>
          <w:b/>
          <w:bCs/>
          <w:sz w:val="24"/>
          <w:szCs w:val="28"/>
          <w:shd w:val="clear" w:color="auto" w:fill="FFFFFF"/>
        </w:rPr>
        <w:t xml:space="preserve"> that the concentration field at </w:t>
      </w:r>
      <w:r w:rsidRPr="00214E36">
        <w:rPr>
          <w:rFonts w:ascii="Palatino Linotype" w:hAnsi="Palatino Linotype" w:cs="Times New Roman"/>
          <w:b/>
          <w:bCs/>
          <w:sz w:val="24"/>
          <w:szCs w:val="24"/>
          <w:shd w:val="clear" w:color="auto" w:fill="FFFFFF"/>
        </w:rPr>
        <w:t xml:space="preserve">time step </w:t>
      </w:r>
      <w:proofErr w:type="spellStart"/>
      <w:r w:rsidRPr="00214E36">
        <w:rPr>
          <w:rFonts w:ascii="Palatino Linotype" w:hAnsi="Palatino Linotype" w:cs="Times New Roman"/>
          <w:b/>
          <w:bCs/>
          <w:sz w:val="24"/>
          <w:szCs w:val="24"/>
          <w:shd w:val="clear" w:color="auto" w:fill="FFFFFF"/>
        </w:rPr>
        <w:t>i</w:t>
      </w:r>
      <w:proofErr w:type="spellEnd"/>
      <w:r w:rsidRPr="00214E36">
        <w:rPr>
          <w:rFonts w:ascii="Palatino Linotype" w:hAnsi="Palatino Linotype" w:cs="Times New Roman"/>
          <w:b/>
          <w:bCs/>
          <w:sz w:val="24"/>
          <w:szCs w:val="24"/>
          <w:shd w:val="clear" w:color="auto" w:fill="FFFFFF"/>
        </w:rPr>
        <w:t xml:space="preserve">, </w:t>
      </w:r>
      <m:oMath>
        <m:sSub>
          <m:sSubPr>
            <m:ctrlPr>
              <w:rPr>
                <w:rFonts w:ascii="Cambria Math" w:hAnsi="Cambria Math"/>
                <w:b/>
                <w:bCs/>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i</m:t>
            </m:r>
          </m:sub>
        </m:sSub>
      </m:oMath>
      <w:r w:rsidRPr="00214E36">
        <w:rPr>
          <w:rFonts w:ascii="Palatino Linotype" w:hAnsi="Palatino Linotype" w:cs="Times New Roman"/>
          <w:b/>
          <w:bCs/>
          <w:sz w:val="24"/>
          <w:szCs w:val="24"/>
          <w:shd w:val="clear" w:color="auto" w:fill="FFFFFF"/>
        </w:rPr>
        <w:t>,</w:t>
      </w:r>
      <w:r w:rsidRPr="001B5539">
        <w:rPr>
          <w:rFonts w:ascii="Palatino Linotype" w:hAnsi="Palatino Linotype" w:cs="Times New Roman"/>
          <w:b/>
          <w:bCs/>
          <w:sz w:val="24"/>
          <w:szCs w:val="28"/>
          <w:shd w:val="clear" w:color="auto" w:fill="FFFFFF"/>
        </w:rPr>
        <w:t xml:space="preserve"> is calculated from the previous concentration field and emissions through model integration. This revised notation makes clear that the observation term is evaluated using the modeled concentration field, rather than assuming a direct one-step relationship between the observation and only the immediately preceding emission.</w:t>
      </w:r>
    </w:p>
    <w:p w14:paraId="34D7F42E" w14:textId="17DEA133" w:rsidR="001B5539" w:rsidRPr="001B5539" w:rsidRDefault="001B5539" w:rsidP="001B5539">
      <w:pPr>
        <w:widowControl/>
        <w:wordWrap/>
        <w:autoSpaceDE/>
        <w:autoSpaceDN/>
        <w:rPr>
          <w:rFonts w:ascii="Palatino Linotype" w:hAnsi="Palatino Linotype" w:cs="Times New Roman"/>
          <w:b/>
          <w:bCs/>
          <w:sz w:val="24"/>
          <w:szCs w:val="28"/>
          <w:shd w:val="clear" w:color="auto" w:fill="FFFFFF"/>
        </w:rPr>
      </w:pPr>
      <w:r w:rsidRPr="001B5539">
        <w:rPr>
          <w:rFonts w:ascii="Palatino Linotype" w:hAnsi="Palatino Linotype" w:cs="Times New Roman"/>
          <w:b/>
          <w:bCs/>
          <w:sz w:val="24"/>
          <w:szCs w:val="28"/>
          <w:shd w:val="clear" w:color="auto" w:fill="FFFFFF"/>
        </w:rPr>
        <w:t xml:space="preserve">We also clarified the meaning of the time index and assimilation window. In this study, the assimilation window was set to 24 hours, and the control variables were defined at hourly time steps within each window. Thus, n represents the number </w:t>
      </w:r>
      <w:r w:rsidRPr="001B5539">
        <w:rPr>
          <w:rFonts w:ascii="Palatino Linotype" w:hAnsi="Palatino Linotype" w:cs="Times New Roman"/>
          <w:b/>
          <w:bCs/>
          <w:sz w:val="24"/>
          <w:szCs w:val="28"/>
          <w:shd w:val="clear" w:color="auto" w:fill="FFFFFF"/>
        </w:rPr>
        <w:lastRenderedPageBreak/>
        <w:t xml:space="preserve">of hourly time steps within the assimilation window, with n = 24 for each window. The observation term is evaluated from </w:t>
      </w:r>
      <w:proofErr w:type="spellStart"/>
      <w:r w:rsidRPr="001B5539">
        <w:rPr>
          <w:rFonts w:ascii="Palatino Linotype" w:hAnsi="Palatino Linotype" w:cs="Times New Roman"/>
          <w:b/>
          <w:bCs/>
          <w:sz w:val="24"/>
          <w:szCs w:val="28"/>
          <w:shd w:val="clear" w:color="auto" w:fill="FFFFFF"/>
        </w:rPr>
        <w:t>i</w:t>
      </w:r>
      <w:proofErr w:type="spellEnd"/>
      <w:r w:rsidRPr="001B5539">
        <w:rPr>
          <w:rFonts w:ascii="Palatino Linotype" w:hAnsi="Palatino Linotype" w:cs="Times New Roman"/>
          <w:b/>
          <w:bCs/>
          <w:sz w:val="24"/>
          <w:szCs w:val="28"/>
          <w:shd w:val="clear" w:color="auto" w:fill="FFFFFF"/>
        </w:rPr>
        <w:t xml:space="preserve"> = 1 </w:t>
      </w:r>
      <w:proofErr w:type="spellStart"/>
      <w:r w:rsidRPr="001B5539">
        <w:rPr>
          <w:rFonts w:ascii="Palatino Linotype" w:hAnsi="Palatino Linotype" w:cs="Times New Roman"/>
          <w:b/>
          <w:bCs/>
          <w:sz w:val="24"/>
          <w:szCs w:val="28"/>
          <w:shd w:val="clear" w:color="auto" w:fill="FFFFFF"/>
        </w:rPr>
        <w:t>to n</w:t>
      </w:r>
      <w:proofErr w:type="spellEnd"/>
      <w:r w:rsidRPr="001B5539">
        <w:rPr>
          <w:rFonts w:ascii="Palatino Linotype" w:hAnsi="Palatino Linotype" w:cs="Times New Roman"/>
          <w:b/>
          <w:bCs/>
          <w:sz w:val="24"/>
          <w:szCs w:val="28"/>
          <w:shd w:val="clear" w:color="auto" w:fill="FFFFFF"/>
        </w:rPr>
        <w:t xml:space="preserve">, corresponding to concentrations generated by emissions from </w:t>
      </w:r>
      <w:proofErr w:type="spellStart"/>
      <w:r w:rsidRPr="001B5539">
        <w:rPr>
          <w:rFonts w:ascii="Palatino Linotype" w:hAnsi="Palatino Linotype" w:cs="Times New Roman"/>
          <w:b/>
          <w:bCs/>
          <w:sz w:val="24"/>
          <w:szCs w:val="28"/>
          <w:shd w:val="clear" w:color="auto" w:fill="FFFFFF"/>
        </w:rPr>
        <w:t>i</w:t>
      </w:r>
      <w:proofErr w:type="spellEnd"/>
      <w:r w:rsidRPr="001B5539">
        <w:rPr>
          <w:rFonts w:ascii="Palatino Linotype" w:hAnsi="Palatino Linotype" w:cs="Times New Roman"/>
          <w:b/>
          <w:bCs/>
          <w:sz w:val="24"/>
          <w:szCs w:val="28"/>
          <w:shd w:val="clear" w:color="auto" w:fill="FFFFFF"/>
        </w:rPr>
        <w:t xml:space="preserve"> = 0 to n−1 through the forward model integration. This structure allows the adjoint backward integration to account for the effects of atmospheric transport and chemical processing over the full assimilation window.</w:t>
      </w:r>
    </w:p>
    <w:p w14:paraId="511DDAAF" w14:textId="6AA969AD" w:rsidR="005E3D02" w:rsidRPr="006A397F" w:rsidRDefault="001B5539" w:rsidP="007002BC">
      <w:pPr>
        <w:widowControl/>
        <w:wordWrap/>
        <w:autoSpaceDE/>
        <w:autoSpaceDN/>
        <w:rPr>
          <w:rFonts w:ascii="Palatino Linotype" w:hAnsi="Palatino Linotype" w:cs="Times New Roman"/>
          <w:b/>
          <w:bCs/>
          <w:sz w:val="24"/>
          <w:szCs w:val="28"/>
          <w:shd w:val="clear" w:color="auto" w:fill="FFFFFF"/>
        </w:rPr>
      </w:pPr>
      <w:r w:rsidRPr="001B5539">
        <w:rPr>
          <w:rFonts w:ascii="Palatino Linotype" w:hAnsi="Palatino Linotype" w:cs="Times New Roman"/>
          <w:b/>
          <w:bCs/>
          <w:sz w:val="24"/>
          <w:szCs w:val="28"/>
          <w:shd w:val="clear" w:color="auto" w:fill="FFFFFF"/>
        </w:rPr>
        <w:t>Accordingly, we revised Eq. (8) and the accompanying text in Section 2.3.2 to clarify the definitions of n</w:t>
      </w:r>
      <w:r w:rsidRPr="001A591C">
        <w:rPr>
          <w:rFonts w:ascii="Palatino Linotype" w:hAnsi="Palatino Linotype" w:cs="Times New Roman"/>
          <w:b/>
          <w:bCs/>
          <w:sz w:val="24"/>
          <w:szCs w:val="24"/>
          <w:shd w:val="clear" w:color="auto" w:fill="FFFFFF"/>
        </w:rPr>
        <w:t xml:space="preserve">, </w:t>
      </w:r>
      <m:oMath>
        <m:sSub>
          <m:sSubPr>
            <m:ctrlPr>
              <w:rPr>
                <w:rFonts w:ascii="Cambria Math" w:hAnsi="Cambria Math"/>
                <w:b/>
                <w:bCs/>
                <w:i/>
                <w:sz w:val="24"/>
                <w:szCs w:val="24"/>
              </w:rPr>
            </m:ctrlPr>
          </m:sSubPr>
          <m:e>
            <m:r>
              <m:rPr>
                <m:sty m:val="bi"/>
              </m:rPr>
              <w:rPr>
                <w:rFonts w:ascii="Cambria Math" w:hAnsi="Cambria Math"/>
                <w:sz w:val="24"/>
                <w:szCs w:val="24"/>
              </w:rPr>
              <m:t>e</m:t>
            </m:r>
          </m:e>
          <m:sub>
            <m:r>
              <m:rPr>
                <m:sty m:val="bi"/>
              </m:rPr>
              <w:rPr>
                <w:rFonts w:ascii="Cambria Math" w:hAnsi="Cambria Math"/>
                <w:sz w:val="24"/>
                <w:szCs w:val="24"/>
              </w:rPr>
              <m:t>i</m:t>
            </m:r>
          </m:sub>
        </m:sSub>
      </m:oMath>
      <w:r w:rsidRPr="001B5539">
        <w:rPr>
          <w:rFonts w:ascii="Palatino Linotype" w:hAnsi="Palatino Linotype" w:cs="Times New Roman"/>
          <w:b/>
          <w:bCs/>
          <w:sz w:val="24"/>
          <w:szCs w:val="28"/>
          <w:shd w:val="clear" w:color="auto" w:fill="FFFFFF"/>
        </w:rPr>
        <w:t xml:space="preserve">, </w:t>
      </w:r>
      <m:oMath>
        <m:sSub>
          <m:sSubPr>
            <m:ctrlPr>
              <w:rPr>
                <w:rFonts w:ascii="Cambria Math" w:hAnsi="Cambria Math"/>
                <w:b/>
                <w:bCs/>
                <w:i/>
                <w:sz w:val="24"/>
                <w:szCs w:val="24"/>
              </w:rPr>
            </m:ctrlPr>
          </m:sSubPr>
          <m:e>
            <m:r>
              <m:rPr>
                <m:sty m:val="b"/>
              </m:rPr>
              <w:rPr>
                <w:rFonts w:ascii="Cambria Math" w:hAnsi="Cambria Math" w:cs="Times New Roman"/>
                <w:sz w:val="24"/>
                <w:szCs w:val="28"/>
                <w:shd w:val="clear" w:color="auto" w:fill="FFFFFF"/>
              </w:rPr>
              <m:t>α</m:t>
            </m:r>
          </m:e>
          <m:sub>
            <m:r>
              <m:rPr>
                <m:sty m:val="bi"/>
              </m:rPr>
              <w:rPr>
                <w:rFonts w:ascii="Cambria Math" w:hAnsi="Cambria Math"/>
                <w:sz w:val="24"/>
                <w:szCs w:val="24"/>
              </w:rPr>
              <m:t>i</m:t>
            </m:r>
          </m:sub>
        </m:sSub>
      </m:oMath>
      <w:r w:rsidRPr="001B5539">
        <w:rPr>
          <w:rFonts w:ascii="Palatino Linotype" w:hAnsi="Palatino Linotype" w:cs="Times New Roman"/>
          <w:b/>
          <w:bCs/>
          <w:sz w:val="24"/>
          <w:szCs w:val="28"/>
          <w:shd w:val="clear" w:color="auto" w:fill="FFFFFF"/>
        </w:rPr>
        <w:t xml:space="preserve">, </w:t>
      </w:r>
      <m:oMath>
        <m:sSub>
          <m:sSubPr>
            <m:ctrlPr>
              <w:rPr>
                <w:rFonts w:ascii="Cambria Math" w:hAnsi="Cambria Math"/>
                <w:b/>
                <w:bCs/>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i</m:t>
            </m:r>
          </m:sub>
        </m:sSub>
      </m:oMath>
      <w:r w:rsidRPr="001B5539">
        <w:rPr>
          <w:rFonts w:ascii="Palatino Linotype" w:hAnsi="Palatino Linotype" w:cs="Times New Roman"/>
          <w:b/>
          <w:bCs/>
          <w:sz w:val="24"/>
          <w:szCs w:val="28"/>
          <w:shd w:val="clear" w:color="auto" w:fill="FFFFFF"/>
        </w:rPr>
        <w:t xml:space="preserve">, and the forward model operator. </w:t>
      </w:r>
      <w:r w:rsidR="006905A3" w:rsidRPr="006905A3">
        <w:rPr>
          <w:rFonts w:ascii="Palatino Linotype" w:hAnsi="Palatino Linotype" w:cs="Times New Roman"/>
          <w:b/>
          <w:bCs/>
          <w:sz w:val="24"/>
          <w:szCs w:val="28"/>
          <w:shd w:val="clear" w:color="auto" w:fill="FFFFFF"/>
        </w:rPr>
        <w:t>We also added an explanation that the concentration field contains the cumulative effects of previous emissions, transport, chemistry, and initial conditions, thereby addressing the reviewer’s concern.</w:t>
      </w:r>
    </w:p>
    <w:p w14:paraId="4C81E99F" w14:textId="122D168D" w:rsidR="007137C0" w:rsidRPr="00964E09" w:rsidRDefault="007137C0" w:rsidP="007137C0">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&lt;Section 2.</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.2 in the revised manuscript&gt;</w:t>
      </w:r>
    </w:p>
    <w:p w14:paraId="6EDEAA30" w14:textId="3C081F24" w:rsidR="004A23A0" w:rsidRPr="00BA2B69" w:rsidRDefault="00BA2B69" w:rsidP="007002BC">
      <w:pPr>
        <w:widowControl/>
        <w:wordWrap/>
        <w:autoSpaceDE/>
        <w:autoSpaceDN/>
        <w:rPr>
          <w:rFonts w:ascii="Palatino Linotype" w:eastAsia="굴림" w:hAnsi="Palatino Linotype" w:cs="Times New Roman"/>
          <w:i/>
          <w:color w:val="0A0A0A"/>
          <w:kern w:val="0"/>
          <w:sz w:val="22"/>
        </w:rPr>
      </w:pPr>
      <m:oMath>
        <m:r>
          <w:rPr>
            <w:rFonts w:ascii="Cambria Math" w:hAnsi="Cambria Math"/>
            <w:sz w:val="18"/>
            <w:szCs w:val="20"/>
          </w:rPr>
          <m:t>J</m:t>
        </m:r>
        <m:d>
          <m:dPr>
            <m:ctrlPr>
              <w:rPr>
                <w:rFonts w:ascii="Cambria Math" w:hAnsi="Cambria Math"/>
                <w:bCs/>
                <w:i/>
                <w:sz w:val="18"/>
                <w:szCs w:val="20"/>
              </w:rPr>
            </m:ctrlPr>
          </m:dPr>
          <m:e>
            <m:r>
              <w:rPr>
                <w:rFonts w:ascii="Cambria Math" w:hAnsi="Cambria Math"/>
                <w:sz w:val="18"/>
                <w:szCs w:val="20"/>
              </w:rPr>
              <m:t>α</m:t>
            </m:r>
          </m:e>
        </m:d>
        <m:r>
          <w:rPr>
            <w:rFonts w:ascii="Cambria Math" w:hAnsi="Cambria Math"/>
            <w:sz w:val="18"/>
            <w:szCs w:val="20"/>
          </w:rPr>
          <m:t>=</m:t>
        </m:r>
        <m:f>
          <m:fPr>
            <m:ctrlPr>
              <w:rPr>
                <w:rFonts w:ascii="Cambria Math" w:hAnsi="Cambria Math"/>
                <w:i/>
                <w:sz w:val="18"/>
                <w:szCs w:val="20"/>
              </w:rPr>
            </m:ctrlPr>
          </m:fPr>
          <m:num>
            <m:r>
              <w:rPr>
                <w:rFonts w:ascii="Cambria Math" w:hAnsi="Cambria Math"/>
                <w:sz w:val="18"/>
                <w:szCs w:val="20"/>
              </w:rPr>
              <m:t>1</m:t>
            </m:r>
          </m:num>
          <m:den>
            <m:r>
              <w:rPr>
                <w:rFonts w:ascii="Cambria Math" w:hAnsi="Cambria Math"/>
                <w:sz w:val="18"/>
                <w:szCs w:val="20"/>
              </w:rPr>
              <m:t>2</m:t>
            </m:r>
          </m:den>
        </m:f>
        <m:r>
          <w:rPr>
            <w:rFonts w:ascii="Cambria Math" w:hAnsi="Cambria Math"/>
            <w:sz w:val="18"/>
            <w:szCs w:val="20"/>
          </w:rPr>
          <m:t>γ</m:t>
        </m:r>
        <m:nary>
          <m:naryPr>
            <m:chr m:val="∑"/>
            <m:limLoc m:val="subSup"/>
            <m:ctrlPr>
              <w:rPr>
                <w:rFonts w:ascii="Cambria Math" w:hAnsi="Cambria Math"/>
                <w:i/>
                <w:sz w:val="18"/>
                <w:szCs w:val="20"/>
              </w:rPr>
            </m:ctrlPr>
          </m:naryPr>
          <m:sub>
            <m:r>
              <w:rPr>
                <w:rFonts w:ascii="Cambria Math" w:hAnsi="Cambria Math"/>
                <w:sz w:val="18"/>
                <w:szCs w:val="20"/>
              </w:rPr>
              <m:t>i=0</m:t>
            </m:r>
          </m:sub>
          <m:sup>
            <m:r>
              <w:rPr>
                <w:rFonts w:ascii="Cambria Math" w:hAnsi="Cambria Math"/>
                <w:sz w:val="18"/>
                <w:szCs w:val="20"/>
              </w:rPr>
              <m:t>n-1</m:t>
            </m:r>
          </m:sup>
          <m:e>
            <m:sSup>
              <m:sSupPr>
                <m:ctrlPr>
                  <w:rPr>
                    <w:rFonts w:ascii="Cambria Math" w:hAnsi="Cambria Math"/>
                    <w:i/>
                    <w:sz w:val="18"/>
                    <w:szCs w:val="20"/>
                  </w:rPr>
                </m:ctrlPr>
              </m:sSupPr>
              <m:e>
                <m:d>
                  <m:dPr>
                    <m:ctrlPr>
                      <w:rPr>
                        <w:rFonts w:ascii="Cambria Math" w:hAnsi="Cambria Math"/>
                        <w:i/>
                        <w:sz w:val="18"/>
                        <w:szCs w:val="20"/>
                      </w:rPr>
                    </m:ctrlPr>
                  </m:dPr>
                  <m:e>
                    <m:sSub>
                      <m:sSubPr>
                        <m:ctrlPr>
                          <w:rPr>
                            <w:rFonts w:ascii="Cambria Math" w:hAnsi="Cambria Math"/>
                            <w:i/>
                            <w:sz w:val="18"/>
                            <w:szCs w:val="20"/>
                          </w:rPr>
                        </m:ctrlPr>
                      </m:sSubPr>
                      <m:e>
                        <m:r>
                          <w:rPr>
                            <w:rFonts w:ascii="Cambria Math" w:hAnsi="Cambria Math"/>
                            <w:sz w:val="18"/>
                            <w:szCs w:val="20"/>
                          </w:rPr>
                          <m:t>α</m:t>
                        </m:r>
                      </m:e>
                      <m:sub>
                        <m:r>
                          <w:rPr>
                            <w:rFonts w:ascii="Cambria Math" w:hAnsi="Cambria Math"/>
                            <w:sz w:val="18"/>
                            <w:szCs w:val="20"/>
                          </w:rPr>
                          <m:t>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α</m:t>
                        </m:r>
                      </m:e>
                      <m:sub>
                        <m:r>
                          <w:rPr>
                            <w:rFonts w:ascii="Cambria Math" w:eastAsia="맑은 고딕" w:hAnsi="Cambria Math" w:cs="맑은 고딕"/>
                            <w:sz w:val="18"/>
                            <w:szCs w:val="20"/>
                          </w:rPr>
                          <m:t>b</m:t>
                        </m:r>
                      </m:sub>
                    </m:sSub>
                  </m:e>
                </m:d>
              </m:e>
              <m:sup>
                <m:r>
                  <w:rPr>
                    <w:rFonts w:ascii="Cambria Math" w:hAnsi="Cambria Math"/>
                    <w:sz w:val="18"/>
                    <w:szCs w:val="20"/>
                  </w:rPr>
                  <m:t>T</m:t>
                </m:r>
              </m:sup>
            </m:sSup>
            <m:sSubSup>
              <m:sSubSupPr>
                <m:ctrlPr>
                  <w:rPr>
                    <w:rFonts w:ascii="Cambria Math" w:hAnsi="Cambria Math"/>
                    <w:i/>
                    <w:sz w:val="18"/>
                    <w:szCs w:val="20"/>
                  </w:rPr>
                </m:ctrlPr>
              </m:sSubSupPr>
              <m:e>
                <m:r>
                  <w:rPr>
                    <w:rFonts w:ascii="Cambria Math" w:hAnsi="Cambria Math"/>
                    <w:sz w:val="18"/>
                    <w:szCs w:val="20"/>
                  </w:rPr>
                  <m:t>B</m:t>
                </m:r>
              </m:e>
              <m:sub>
                <m:r>
                  <w:rPr>
                    <w:rFonts w:ascii="Cambria Math" w:hAnsi="Cambria Math"/>
                    <w:sz w:val="18"/>
                    <w:szCs w:val="20"/>
                  </w:rPr>
                  <m:t>i</m:t>
                </m:r>
              </m:sub>
              <m:sup>
                <m:r>
                  <w:rPr>
                    <w:rFonts w:ascii="Cambria Math" w:hAnsi="Cambria Math"/>
                    <w:sz w:val="18"/>
                    <w:szCs w:val="20"/>
                  </w:rPr>
                  <m:t>-1</m:t>
                </m:r>
              </m:sup>
            </m:sSubSup>
            <m:d>
              <m:dPr>
                <m:ctrlPr>
                  <w:rPr>
                    <w:rFonts w:ascii="Cambria Math" w:hAnsi="Cambria Math"/>
                    <w:i/>
                    <w:sz w:val="18"/>
                    <w:szCs w:val="20"/>
                  </w:rPr>
                </m:ctrlPr>
              </m:dPr>
              <m:e>
                <m:sSub>
                  <m:sSubPr>
                    <m:ctrlPr>
                      <w:rPr>
                        <w:rFonts w:ascii="Cambria Math" w:hAnsi="Cambria Math"/>
                        <w:i/>
                        <w:sz w:val="18"/>
                        <w:szCs w:val="20"/>
                      </w:rPr>
                    </m:ctrlPr>
                  </m:sSubPr>
                  <m:e>
                    <m:r>
                      <w:rPr>
                        <w:rFonts w:ascii="Cambria Math" w:hAnsi="Cambria Math"/>
                        <w:sz w:val="18"/>
                        <w:szCs w:val="20"/>
                      </w:rPr>
                      <m:t>α</m:t>
                    </m:r>
                  </m:e>
                  <m:sub>
                    <m:r>
                      <w:rPr>
                        <w:rFonts w:ascii="Cambria Math" w:hAnsi="Cambria Math"/>
                        <w:sz w:val="18"/>
                        <w:szCs w:val="20"/>
                      </w:rPr>
                      <m:t>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α</m:t>
                    </m:r>
                  </m:e>
                  <m:sub>
                    <m:r>
                      <w:rPr>
                        <w:rFonts w:ascii="Cambria Math" w:eastAsia="맑은 고딕" w:hAnsi="Cambria Math" w:cs="맑은 고딕"/>
                        <w:sz w:val="18"/>
                        <w:szCs w:val="20"/>
                      </w:rPr>
                      <m:t>b</m:t>
                    </m:r>
                  </m:sub>
                </m:sSub>
              </m:e>
            </m:d>
          </m:e>
        </m:nary>
        <m:r>
          <w:rPr>
            <w:rFonts w:ascii="Cambria Math" w:hAnsi="Cambria Math"/>
            <w:sz w:val="18"/>
            <w:szCs w:val="20"/>
          </w:rPr>
          <m:t>+</m:t>
        </m:r>
        <m:f>
          <m:fPr>
            <m:ctrlPr>
              <w:rPr>
                <w:rFonts w:ascii="Cambria Math" w:hAnsi="Cambria Math"/>
                <w:i/>
                <w:sz w:val="18"/>
                <w:szCs w:val="20"/>
              </w:rPr>
            </m:ctrlPr>
          </m:fPr>
          <m:num>
            <m:r>
              <w:rPr>
                <w:rFonts w:ascii="Cambria Math" w:hAnsi="Cambria Math"/>
                <w:sz w:val="18"/>
                <w:szCs w:val="20"/>
              </w:rPr>
              <m:t>1</m:t>
            </m:r>
          </m:num>
          <m:den>
            <m:r>
              <w:rPr>
                <w:rFonts w:ascii="Cambria Math" w:hAnsi="Cambria Math"/>
                <w:sz w:val="18"/>
                <w:szCs w:val="20"/>
              </w:rPr>
              <m:t>2</m:t>
            </m:r>
          </m:den>
        </m:f>
        <m:nary>
          <m:naryPr>
            <m:chr m:val="∑"/>
            <m:ctrlPr>
              <w:rPr>
                <w:rFonts w:ascii="Cambria Math" w:hAnsi="Cambria Math"/>
                <w:i/>
                <w:sz w:val="18"/>
                <w:szCs w:val="20"/>
              </w:rPr>
            </m:ctrlPr>
          </m:naryPr>
          <m:sub>
            <m:r>
              <w:rPr>
                <w:rFonts w:ascii="Cambria Math" w:hAnsi="Cambria Math"/>
                <w:sz w:val="18"/>
                <w:szCs w:val="20"/>
              </w:rPr>
              <m:t>i=1</m:t>
            </m:r>
          </m:sub>
          <m:sup>
            <m:r>
              <w:rPr>
                <w:rFonts w:ascii="Cambria Math" w:hAnsi="Cambria Math"/>
                <w:sz w:val="18"/>
                <w:szCs w:val="20"/>
              </w:rPr>
              <m:t>n</m:t>
            </m:r>
          </m:sup>
          <m:e>
            <m:sSup>
              <m:sSupPr>
                <m:ctrlPr>
                  <w:rPr>
                    <w:rFonts w:ascii="Cambria Math" w:hAnsi="Cambria Math"/>
                    <w:i/>
                    <w:sz w:val="18"/>
                    <w:szCs w:val="20"/>
                  </w:rPr>
                </m:ctrlPr>
              </m:sSupPr>
              <m:e>
                <m:d>
                  <m:dPr>
                    <m:ctrlPr>
                      <w:rPr>
                        <w:rFonts w:ascii="Cambria Math" w:hAnsi="Cambria Math"/>
                        <w:i/>
                        <w:sz w:val="18"/>
                        <w:szCs w:val="20"/>
                      </w:rPr>
                    </m:ctrlPr>
                  </m:dPr>
                  <m:e>
                    <m:sSub>
                      <m:sSubPr>
                        <m:ctrlPr>
                          <w:rPr>
                            <w:rFonts w:ascii="Cambria Math" w:hAnsi="Cambria Math"/>
                            <w:i/>
                            <w:sz w:val="18"/>
                            <w:szCs w:val="20"/>
                          </w:rPr>
                        </m:ctrlPr>
                      </m:sSubPr>
                      <m:e>
                        <m:r>
                          <w:rPr>
                            <w:rFonts w:ascii="Cambria Math" w:hAnsi="Cambria Math"/>
                            <w:sz w:val="18"/>
                            <w:szCs w:val="20"/>
                          </w:rPr>
                          <m:t>y</m:t>
                        </m:r>
                      </m:e>
                      <m:sub>
                        <m:r>
                          <w:rPr>
                            <w:rFonts w:ascii="Cambria Math" w:hAnsi="Cambria Math"/>
                            <w:sz w:val="18"/>
                            <w:szCs w:val="20"/>
                          </w:rPr>
                          <m:t>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H</m:t>
                        </m:r>
                      </m:e>
                      <m:sub>
                        <m:r>
                          <w:rPr>
                            <w:rFonts w:ascii="Cambria Math" w:hAnsi="Cambria Math"/>
                            <w:sz w:val="18"/>
                            <w:szCs w:val="20"/>
                          </w:rPr>
                          <m:t>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c</m:t>
                        </m:r>
                      </m:e>
                      <m:sub>
                        <m:r>
                          <w:rPr>
                            <w:rFonts w:ascii="Cambria Math" w:hAnsi="Cambria Math"/>
                            <w:sz w:val="18"/>
                            <w:szCs w:val="20"/>
                          </w:rPr>
                          <m:t>i</m:t>
                        </m:r>
                      </m:sub>
                    </m:sSub>
                    <m:r>
                      <w:rPr>
                        <w:rFonts w:ascii="Cambria Math" w:hAnsi="Cambria Math"/>
                        <w:sz w:val="18"/>
                        <w:szCs w:val="20"/>
                      </w:rPr>
                      <m:t>)</m:t>
                    </m:r>
                  </m:e>
                </m:d>
              </m:e>
              <m:sup>
                <m:r>
                  <w:rPr>
                    <w:rFonts w:ascii="Cambria Math" w:hAnsi="Cambria Math"/>
                    <w:sz w:val="18"/>
                    <w:szCs w:val="20"/>
                  </w:rPr>
                  <m:t>T</m:t>
                </m:r>
              </m:sup>
            </m:sSup>
            <m:sSubSup>
              <m:sSubSupPr>
                <m:ctrlPr>
                  <w:rPr>
                    <w:rFonts w:ascii="Cambria Math" w:hAnsi="Cambria Math"/>
                    <w:i/>
                    <w:sz w:val="18"/>
                    <w:szCs w:val="20"/>
                  </w:rPr>
                </m:ctrlPr>
              </m:sSubSupPr>
              <m:e>
                <m:r>
                  <w:rPr>
                    <w:rFonts w:ascii="Cambria Math" w:hAnsi="Cambria Math"/>
                    <w:sz w:val="18"/>
                    <w:szCs w:val="20"/>
                  </w:rPr>
                  <m:t>R</m:t>
                </m:r>
              </m:e>
              <m:sub>
                <m:r>
                  <w:rPr>
                    <w:rFonts w:ascii="Cambria Math" w:hAnsi="Cambria Math"/>
                    <w:sz w:val="18"/>
                    <w:szCs w:val="20"/>
                  </w:rPr>
                  <m:t>i</m:t>
                </m:r>
              </m:sub>
              <m:sup>
                <m:r>
                  <w:rPr>
                    <w:rFonts w:ascii="Cambria Math" w:hAnsi="Cambria Math"/>
                    <w:sz w:val="18"/>
                    <w:szCs w:val="20"/>
                  </w:rPr>
                  <m:t>-1</m:t>
                </m:r>
              </m:sup>
            </m:sSubSup>
            <m:d>
              <m:dPr>
                <m:ctrlPr>
                  <w:rPr>
                    <w:rFonts w:ascii="Cambria Math" w:hAnsi="Cambria Math"/>
                    <w:i/>
                    <w:sz w:val="18"/>
                    <w:szCs w:val="20"/>
                  </w:rPr>
                </m:ctrlPr>
              </m:dPr>
              <m:e>
                <m:sSub>
                  <m:sSubPr>
                    <m:ctrlPr>
                      <w:rPr>
                        <w:rFonts w:ascii="Cambria Math" w:hAnsi="Cambria Math"/>
                        <w:i/>
                        <w:sz w:val="18"/>
                        <w:szCs w:val="20"/>
                      </w:rPr>
                    </m:ctrlPr>
                  </m:sSubPr>
                  <m:e>
                    <m:r>
                      <w:rPr>
                        <w:rFonts w:ascii="Cambria Math" w:hAnsi="Cambria Math"/>
                        <w:sz w:val="18"/>
                        <w:szCs w:val="20"/>
                      </w:rPr>
                      <m:t>y</m:t>
                    </m:r>
                  </m:e>
                  <m:sub>
                    <m:r>
                      <w:rPr>
                        <w:rFonts w:ascii="Cambria Math" w:hAnsi="Cambria Math"/>
                        <w:sz w:val="18"/>
                        <w:szCs w:val="20"/>
                      </w:rPr>
                      <m:t>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H</m:t>
                    </m:r>
                  </m:e>
                  <m:sub>
                    <m:r>
                      <w:rPr>
                        <w:rFonts w:ascii="Cambria Math" w:hAnsi="Cambria Math"/>
                        <w:sz w:val="18"/>
                        <w:szCs w:val="20"/>
                      </w:rPr>
                      <m:t>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c</m:t>
                    </m:r>
                  </m:e>
                  <m:sub>
                    <m:r>
                      <w:rPr>
                        <w:rFonts w:ascii="Cambria Math" w:hAnsi="Cambria Math"/>
                        <w:sz w:val="18"/>
                        <w:szCs w:val="20"/>
                      </w:rPr>
                      <m:t>i</m:t>
                    </m:r>
                  </m:sub>
                </m:sSub>
                <m:r>
                  <w:rPr>
                    <w:rFonts w:ascii="Cambria Math" w:hAnsi="Cambria Math"/>
                    <w:sz w:val="18"/>
                    <w:szCs w:val="20"/>
                  </w:rPr>
                  <m:t>)</m:t>
                </m:r>
              </m:e>
            </m:d>
          </m:e>
        </m:nary>
        <m:r>
          <w:rPr>
            <w:rFonts w:ascii="Cambria Math" w:hAnsi="Cambria Math"/>
            <w:sz w:val="18"/>
            <w:szCs w:val="20"/>
          </w:rPr>
          <m:t xml:space="preserve">, where </m:t>
        </m:r>
        <m:sSub>
          <m:sSubPr>
            <m:ctrlPr>
              <w:rPr>
                <w:rFonts w:ascii="Cambria Math" w:hAnsi="Cambria Math"/>
                <w:i/>
                <w:sz w:val="18"/>
                <w:szCs w:val="20"/>
              </w:rPr>
            </m:ctrlPr>
          </m:sSubPr>
          <m:e>
            <m:r>
              <w:rPr>
                <w:rFonts w:ascii="Cambria Math" w:hAnsi="Cambria Math"/>
                <w:sz w:val="18"/>
                <w:szCs w:val="20"/>
              </w:rPr>
              <m:t>c</m:t>
            </m:r>
          </m:e>
          <m:sub>
            <m:r>
              <w:rPr>
                <w:rFonts w:ascii="Cambria Math" w:hAnsi="Cambria Math"/>
                <w:sz w:val="18"/>
                <w:szCs w:val="20"/>
              </w:rPr>
              <m:t>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M</m:t>
            </m:r>
          </m:e>
          <m:sub>
            <m:r>
              <w:rPr>
                <w:rFonts w:ascii="Cambria Math" w:hAnsi="Cambria Math"/>
                <w:sz w:val="18"/>
                <w:szCs w:val="20"/>
              </w:rPr>
              <m:t>i-1→i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c</m:t>
            </m:r>
          </m:e>
          <m:sub>
            <m:r>
              <w:rPr>
                <w:rFonts w:ascii="Cambria Math" w:hAnsi="Cambria Math"/>
                <w:sz w:val="18"/>
                <w:szCs w:val="20"/>
              </w:rPr>
              <m:t>i-1</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e</m:t>
            </m:r>
          </m:e>
          <m:sub>
            <m:r>
              <w:rPr>
                <w:rFonts w:ascii="Cambria Math" w:hAnsi="Cambria Math"/>
                <w:sz w:val="18"/>
                <w:szCs w:val="20"/>
              </w:rPr>
              <m:t>i-1</m:t>
            </m:r>
          </m:sub>
        </m:sSub>
        <m:r>
          <w:rPr>
            <w:rFonts w:ascii="Cambria Math" w:hAnsi="Cambria Math"/>
            <w:sz w:val="18"/>
            <w:szCs w:val="20"/>
          </w:rPr>
          <m:t>)</m:t>
        </m:r>
      </m:oMath>
      <w:r w:rsidR="000B7B69" w:rsidRPr="00BA2B69">
        <w:rPr>
          <w:rFonts w:ascii="Palatino Linotype" w:eastAsia="굴림" w:hAnsi="Palatino Linotype" w:cs="Times New Roman"/>
          <w:i/>
          <w:sz w:val="18"/>
          <w:szCs w:val="20"/>
        </w:rPr>
        <w:tab/>
        <w:t>(8)</w:t>
      </w:r>
    </w:p>
    <w:p w14:paraId="20969413" w14:textId="60A1F1CF" w:rsidR="004A23A0" w:rsidRDefault="009F2333" w:rsidP="004A23A0">
      <w:pPr>
        <w:widowControl/>
        <w:wordWrap/>
        <w:autoSpaceDE/>
        <w:autoSpaceDN/>
        <w:rPr>
          <w:rFonts w:ascii="Palatino Linotype" w:eastAsia="바탕" w:hAnsi="Palatino Linotype"/>
          <w:i/>
          <w:iCs/>
          <w:sz w:val="24"/>
          <w:szCs w:val="24"/>
        </w:rPr>
      </w:pPr>
      <w:r w:rsidRPr="00BD5423">
        <w:rPr>
          <w:rFonts w:ascii="Palatino Linotype" w:hAnsi="Palatino Linotype"/>
          <w:i/>
          <w:iCs/>
          <w:sz w:val="24"/>
          <w:szCs w:val="24"/>
        </w:rPr>
        <w:t xml:space="preserve">Here, n represents the number of hourly time steps within the assimilation window, </w:t>
      </w:r>
      <w:r w:rsidRPr="00BD5423">
        <w:rPr>
          <w:rStyle w:val="ad"/>
          <w:rFonts w:ascii="Palatino Linotype" w:hAnsi="Palatino Linotype"/>
          <w:b w:val="0"/>
          <w:bCs w:val="0"/>
          <w:i/>
          <w:iCs/>
          <w:sz w:val="24"/>
          <w:szCs w:val="24"/>
        </w:rPr>
        <w:t>which was set to 24 in this study.</w:t>
      </w:r>
      <w:r w:rsidRPr="00BD5423">
        <w:rPr>
          <w:rFonts w:ascii="Palatino Linotype" w:hAnsi="Palatino Linotype"/>
          <w:i/>
          <w:iCs/>
          <w:sz w:val="24"/>
          <w:szCs w:val="24"/>
        </w:rPr>
        <w:t xml:space="preserve"> The control variable is the emission scaling factor (</w:t>
      </w:r>
      <m:oMath>
        <m:sSub>
          <m:sSubPr>
            <m:ctrlPr>
              <w:rPr>
                <w:rFonts w:ascii="Cambria Math" w:hAnsi="Cambria Math"/>
                <w:i/>
                <w:iCs/>
                <w:sz w:val="24"/>
                <w:szCs w:val="24"/>
              </w:rPr>
            </m:ctrlPr>
          </m:sSubPr>
          <m:e>
            <m:r>
              <w:rPr>
                <w:rFonts w:ascii="Cambria Math" w:eastAsia="굴림" w:hAnsi="Cambria Math"/>
                <w:color w:val="0A0A0A"/>
                <w:sz w:val="24"/>
                <w:szCs w:val="24"/>
              </w:rPr>
              <m:t>α</m:t>
            </m:r>
          </m:e>
          <m:sub>
            <m:r>
              <w:rPr>
                <w:rFonts w:ascii="Cambria Math" w:hAnsi="Cambria Math"/>
                <w:sz w:val="24"/>
                <w:szCs w:val="24"/>
              </w:rPr>
              <m:t>i</m:t>
            </m:r>
          </m:sub>
        </m:sSub>
      </m:oMath>
      <w:r w:rsidRPr="00BD5423">
        <w:rPr>
          <w:rFonts w:ascii="Palatino Linotype" w:hAnsi="Palatino Linotype"/>
          <w:i/>
          <w:iCs/>
          <w:sz w:val="24"/>
          <w:szCs w:val="24"/>
        </w:rPr>
        <w:t xml:space="preserve">) at a specific hourly time step </w:t>
      </w:r>
      <m:oMath>
        <m:r>
          <w:rPr>
            <w:rFonts w:ascii="Cambria Math" w:hAnsi="Cambria Math"/>
            <w:sz w:val="24"/>
            <w:szCs w:val="24"/>
          </w:rPr>
          <m:t>i</m:t>
        </m:r>
      </m:oMath>
      <w:r w:rsidRPr="00BD5423">
        <w:rPr>
          <w:rFonts w:ascii="Palatino Linotype" w:hAnsi="Palatino Linotype"/>
          <w:i/>
          <w:iCs/>
          <w:sz w:val="24"/>
          <w:szCs w:val="24"/>
        </w:rPr>
        <w:t xml:space="preserve"> (</w:t>
      </w:r>
      <m:oMath>
        <m:r>
          <w:rPr>
            <w:rFonts w:ascii="Cambria Math" w:hAnsi="Cambria Math"/>
            <w:sz w:val="24"/>
            <w:szCs w:val="24"/>
          </w:rPr>
          <m:t>i=0,…,n-1</m:t>
        </m:r>
      </m:oMath>
      <w:r w:rsidRPr="00BD5423">
        <w:rPr>
          <w:rFonts w:ascii="Palatino Linotype" w:eastAsia="바탕" w:hAnsi="Palatino Linotype"/>
          <w:i/>
          <w:iCs/>
          <w:sz w:val="24"/>
          <w:szCs w:val="24"/>
        </w:rPr>
        <w:t>)</w:t>
      </w:r>
      <w:r w:rsidRPr="00BD5423">
        <w:rPr>
          <w:rFonts w:ascii="Palatino Linotype" w:hAnsi="Palatino Linotype"/>
          <w:i/>
          <w:iCs/>
          <w:sz w:val="24"/>
          <w:szCs w:val="24"/>
        </w:rPr>
        <w:t>. The emission scaling factor (</w:t>
      </w:r>
      <m:oMath>
        <m:sSub>
          <m:sSubPr>
            <m:ctrlPr>
              <w:rPr>
                <w:rFonts w:ascii="Cambria Math" w:hAnsi="Cambria Math"/>
                <w:i/>
                <w:iCs/>
                <w:sz w:val="24"/>
                <w:szCs w:val="24"/>
              </w:rPr>
            </m:ctrlPr>
          </m:sSubPr>
          <m:e>
            <m:r>
              <w:rPr>
                <w:rFonts w:ascii="Cambria Math" w:eastAsia="굴림" w:hAnsi="Cambria Math"/>
                <w:color w:val="0A0A0A"/>
                <w:sz w:val="24"/>
                <w:szCs w:val="24"/>
              </w:rPr>
              <m:t>α</m:t>
            </m:r>
          </m:e>
          <m:sub>
            <m:r>
              <w:rPr>
                <w:rFonts w:ascii="Cambria Math" w:hAnsi="Cambria Math"/>
                <w:sz w:val="24"/>
                <w:szCs w:val="24"/>
              </w:rPr>
              <m:t>i</m:t>
            </m:r>
          </m:sub>
        </m:sSub>
        <m:r>
          <w:rPr>
            <w:rFonts w:ascii="Cambria Math" w:hAnsi="Cambria Math"/>
            <w:sz w:val="24"/>
            <w:szCs w:val="24"/>
          </w:rPr>
          <m:t>=</m:t>
        </m:r>
        <m:sSub>
          <m:sSubPr>
            <m:ctrlPr>
              <w:rPr>
                <w:rFonts w:ascii="Cambria Math" w:hAnsi="Cambria Math"/>
                <w:i/>
                <w:iCs/>
                <w:sz w:val="24"/>
                <w:szCs w:val="24"/>
              </w:rPr>
            </m:ctrlPr>
          </m:sSubPr>
          <m:e>
            <m:r>
              <w:rPr>
                <w:rFonts w:ascii="Cambria Math" w:eastAsia="굴림" w:hAnsi="Cambria Math"/>
                <w:color w:val="0A0A0A"/>
                <w:sz w:val="24"/>
                <w:szCs w:val="24"/>
              </w:rPr>
              <m:t>e</m:t>
            </m:r>
          </m:e>
          <m:sub>
            <m:r>
              <w:rPr>
                <w:rFonts w:ascii="Cambria Math" w:hAnsi="Cambria Math"/>
                <w:sz w:val="24"/>
                <w:szCs w:val="24"/>
              </w:rPr>
              <m:t>i</m:t>
            </m:r>
          </m:sub>
        </m:sSub>
        <m:r>
          <w:rPr>
            <w:rFonts w:ascii="Cambria Math" w:hAnsi="Cambria Math"/>
            <w:sz w:val="24"/>
            <w:szCs w:val="24"/>
          </w:rPr>
          <m:t>/</m:t>
        </m:r>
        <m:sSubSup>
          <m:sSubSupPr>
            <m:ctrlPr>
              <w:rPr>
                <w:rFonts w:ascii="Cambria Math" w:hAnsi="Cambria Math"/>
                <w:i/>
                <w:iCs/>
                <w:sz w:val="24"/>
                <w:szCs w:val="24"/>
              </w:rPr>
            </m:ctrlPr>
          </m:sSubSupPr>
          <m:e>
            <m:r>
              <w:rPr>
                <w:rFonts w:ascii="Cambria Math" w:hAnsi="Cambria Math"/>
                <w:sz w:val="24"/>
                <w:szCs w:val="24"/>
              </w:rPr>
              <m:t>e</m:t>
            </m:r>
          </m:e>
          <m:sub>
            <m:r>
              <w:rPr>
                <w:rFonts w:ascii="Cambria Math" w:hAnsi="Cambria Math"/>
                <w:sz w:val="24"/>
                <w:szCs w:val="24"/>
              </w:rPr>
              <m:t>i</m:t>
            </m:r>
          </m:sub>
          <m:sup>
            <m:r>
              <w:rPr>
                <w:rFonts w:ascii="Cambria Math" w:hAnsi="Cambria Math"/>
                <w:sz w:val="24"/>
                <w:szCs w:val="24"/>
              </w:rPr>
              <m:t>b</m:t>
            </m:r>
          </m:sup>
        </m:sSubSup>
      </m:oMath>
      <w:r w:rsidRPr="00BD5423">
        <w:rPr>
          <w:rFonts w:ascii="Palatino Linotype" w:hAnsi="Palatino Linotype"/>
          <w:i/>
          <w:iCs/>
          <w:sz w:val="24"/>
          <w:szCs w:val="24"/>
        </w:rPr>
        <w:t xml:space="preserve">) represents the ratio between the updated and prior emissions at time step </w:t>
      </w:r>
      <m:oMath>
        <m:r>
          <w:rPr>
            <w:rFonts w:ascii="Cambria Math" w:hAnsi="Cambria Math"/>
            <w:sz w:val="24"/>
            <w:szCs w:val="24"/>
          </w:rPr>
          <m:t>i</m:t>
        </m:r>
      </m:oMath>
      <w:r w:rsidRPr="00BD5423">
        <w:rPr>
          <w:rFonts w:ascii="Palatino Linotype" w:hAnsi="Palatino Linotype"/>
          <w:i/>
          <w:iCs/>
          <w:sz w:val="24"/>
          <w:szCs w:val="24"/>
        </w:rPr>
        <w:t xml:space="preserve">. </w:t>
      </w:r>
      <m:oMath>
        <m:sSub>
          <m:sSubPr>
            <m:ctrlPr>
              <w:rPr>
                <w:rFonts w:ascii="Cambria Math" w:hAnsi="Cambria Math"/>
                <w:i/>
                <w:iCs/>
                <w:sz w:val="24"/>
                <w:szCs w:val="24"/>
              </w:rPr>
            </m:ctrlPr>
          </m:sSubPr>
          <m:e>
            <m:r>
              <w:rPr>
                <w:rFonts w:ascii="Cambria Math" w:eastAsia="굴림" w:hAnsi="Cambria Math"/>
                <w:color w:val="0A0A0A"/>
                <w:sz w:val="24"/>
                <w:szCs w:val="24"/>
              </w:rPr>
              <m:t>e</m:t>
            </m:r>
          </m:e>
          <m:sub>
            <m:r>
              <w:rPr>
                <w:rFonts w:ascii="Cambria Math" w:hAnsi="Cambria Math"/>
                <w:sz w:val="24"/>
                <w:szCs w:val="24"/>
              </w:rPr>
              <m:t>i</m:t>
            </m:r>
          </m:sub>
        </m:sSub>
      </m:oMath>
      <w:r w:rsidRPr="00BD5423">
        <w:rPr>
          <w:rFonts w:ascii="Palatino Linotype" w:eastAsia="바탕" w:hAnsi="Palatino Linotype"/>
          <w:i/>
          <w:iCs/>
          <w:sz w:val="24"/>
          <w:szCs w:val="24"/>
        </w:rPr>
        <w:t xml:space="preserve"> </w:t>
      </w:r>
      <w:r w:rsidRPr="00BD5423">
        <w:rPr>
          <w:rFonts w:ascii="Palatino Linotype" w:hAnsi="Palatino Linotype"/>
          <w:i/>
          <w:iCs/>
          <w:sz w:val="24"/>
          <w:szCs w:val="24"/>
        </w:rPr>
        <w:t xml:space="preserve">denotes the updated emissions at time step </w:t>
      </w:r>
      <m:oMath>
        <m:r>
          <w:rPr>
            <w:rFonts w:ascii="Cambria Math" w:hAnsi="Cambria Math"/>
            <w:sz w:val="24"/>
            <w:szCs w:val="24"/>
          </w:rPr>
          <m:t>i</m:t>
        </m:r>
      </m:oMath>
      <w:r w:rsidRPr="00BD5423">
        <w:rPr>
          <w:rFonts w:ascii="Palatino Linotype" w:hAnsi="Palatino Linotype"/>
          <w:i/>
          <w:iCs/>
          <w:sz w:val="24"/>
          <w:szCs w:val="24"/>
        </w:rPr>
        <w:t xml:space="preserve">, and </w:t>
      </w:r>
      <m:oMath>
        <m:sSubSup>
          <m:sSubSupPr>
            <m:ctrlPr>
              <w:rPr>
                <w:rFonts w:ascii="Cambria Math" w:hAnsi="Cambria Math"/>
                <w:i/>
                <w:iCs/>
                <w:sz w:val="24"/>
                <w:szCs w:val="24"/>
              </w:rPr>
            </m:ctrlPr>
          </m:sSubSupPr>
          <m:e>
            <m:r>
              <w:rPr>
                <w:rFonts w:ascii="Cambria Math" w:hAnsi="Cambria Math"/>
                <w:sz w:val="24"/>
                <w:szCs w:val="24"/>
              </w:rPr>
              <m:t>e</m:t>
            </m:r>
          </m:e>
          <m:sub>
            <m:r>
              <w:rPr>
                <w:rFonts w:ascii="Cambria Math" w:hAnsi="Cambria Math"/>
                <w:sz w:val="24"/>
                <w:szCs w:val="24"/>
              </w:rPr>
              <m:t>i</m:t>
            </m:r>
          </m:sub>
          <m:sup>
            <m:r>
              <w:rPr>
                <w:rFonts w:ascii="Cambria Math" w:hAnsi="Cambria Math"/>
                <w:sz w:val="24"/>
                <w:szCs w:val="24"/>
              </w:rPr>
              <m:t>b</m:t>
            </m:r>
          </m:sup>
        </m:sSubSup>
      </m:oMath>
      <w:r w:rsidRPr="00BD5423">
        <w:rPr>
          <w:rFonts w:ascii="Palatino Linotype" w:hAnsi="Palatino Linotype"/>
          <w:i/>
          <w:iCs/>
          <w:sz w:val="24"/>
          <w:szCs w:val="24"/>
        </w:rPr>
        <w:t xml:space="preserve"> denotes the corresponding prior emissions.</w:t>
      </w:r>
      <w:r w:rsidRPr="00BD5423">
        <w:rPr>
          <w:rFonts w:ascii="Palatino Linotype" w:eastAsia="바탕" w:hAnsi="Palatino Linotype"/>
          <w:i/>
          <w:iCs/>
          <w:sz w:val="24"/>
          <w:szCs w:val="24"/>
        </w:rPr>
        <w:t xml:space="preserve"> </w:t>
      </w:r>
      <m:oMath>
        <m:sSub>
          <m:sSubPr>
            <m:ctrlPr>
              <w:rPr>
                <w:rFonts w:ascii="Cambria Math" w:hAnsi="Cambria Math"/>
                <w:i/>
                <w:iCs/>
                <w:sz w:val="24"/>
                <w:szCs w:val="24"/>
              </w:rPr>
            </m:ctrlPr>
          </m:sSubPr>
          <m:e>
            <m:r>
              <w:rPr>
                <w:rFonts w:ascii="Cambria Math" w:hAnsi="Cambria Math"/>
                <w:sz w:val="24"/>
                <w:szCs w:val="24"/>
              </w:rPr>
              <m:t>c</m:t>
            </m:r>
          </m:e>
          <m:sub>
            <m:r>
              <w:rPr>
                <w:rFonts w:ascii="Cambria Math" w:hAnsi="Cambria Math"/>
                <w:sz w:val="24"/>
                <w:szCs w:val="24"/>
              </w:rPr>
              <m:t>i</m:t>
            </m:r>
          </m:sub>
        </m:sSub>
      </m:oMath>
      <w:r w:rsidRPr="00BD5423">
        <w:rPr>
          <w:rFonts w:ascii="Palatino Linotype" w:eastAsia="바탕" w:hAnsi="Palatino Linotype"/>
          <w:i/>
          <w:iCs/>
          <w:sz w:val="24"/>
          <w:szCs w:val="24"/>
        </w:rPr>
        <w:t xml:space="preserve"> </w:t>
      </w:r>
      <w:r w:rsidRPr="00BD5423">
        <w:rPr>
          <w:rFonts w:ascii="Palatino Linotype" w:hAnsi="Palatino Linotype"/>
          <w:i/>
          <w:iCs/>
          <w:sz w:val="24"/>
          <w:szCs w:val="24"/>
        </w:rPr>
        <w:t xml:space="preserve">represents the simulated concentration field at time step </w:t>
      </w:r>
      <m:oMath>
        <m:r>
          <w:rPr>
            <w:rFonts w:ascii="Cambria Math" w:hAnsi="Cambria Math"/>
            <w:sz w:val="24"/>
            <w:szCs w:val="24"/>
          </w:rPr>
          <m:t>i</m:t>
        </m:r>
      </m:oMath>
      <w:r w:rsidRPr="00BD5423">
        <w:rPr>
          <w:rFonts w:ascii="Palatino Linotype" w:hAnsi="Palatino Linotype"/>
          <w:i/>
          <w:iCs/>
          <w:sz w:val="24"/>
          <w:szCs w:val="24"/>
        </w:rPr>
        <w:t xml:space="preserve">. As explicitly denoted by the forward model integration operator </w:t>
      </w:r>
      <m:oMath>
        <m:sSub>
          <m:sSubPr>
            <m:ctrlPr>
              <w:rPr>
                <w:rFonts w:ascii="Cambria Math" w:hAnsi="Cambria Math"/>
                <w:i/>
                <w:iCs/>
                <w:sz w:val="24"/>
                <w:szCs w:val="24"/>
              </w:rPr>
            </m:ctrlPr>
          </m:sSubPr>
          <m:e>
            <m:r>
              <w:rPr>
                <w:rFonts w:ascii="Cambria Math" w:hAnsi="Cambria Math"/>
                <w:sz w:val="24"/>
                <w:szCs w:val="24"/>
              </w:rPr>
              <m:t>M</m:t>
            </m:r>
          </m:e>
          <m:sub>
            <m:r>
              <w:rPr>
                <w:rFonts w:ascii="Cambria Math" w:hAnsi="Cambria Math"/>
                <w:sz w:val="24"/>
                <w:szCs w:val="24"/>
              </w:rPr>
              <m:t>i-1→i</m:t>
            </m:r>
          </m:sub>
        </m:sSub>
      </m:oMath>
      <w:r w:rsidRPr="00BD5423">
        <w:rPr>
          <w:rFonts w:ascii="Palatino Linotype" w:hAnsi="Palatino Linotype"/>
          <w:i/>
          <w:iCs/>
          <w:sz w:val="24"/>
          <w:szCs w:val="24"/>
        </w:rPr>
        <w:t xml:space="preserve">, the concentration </w:t>
      </w:r>
      <w:r w:rsidR="00902F90" w:rsidRPr="00902F90">
        <w:rPr>
          <w:rFonts w:ascii="Palatino Linotype" w:hAnsi="Palatino Linotype"/>
          <w:i/>
          <w:iCs/>
          <w:sz w:val="24"/>
          <w:szCs w:val="24"/>
        </w:rPr>
        <w:t>field</w:t>
      </w:r>
      <w:r w:rsidR="00902F90">
        <w:rPr>
          <w:rFonts w:ascii="Palatino Linotype" w:hAnsi="Palatino Linotype"/>
          <w:i/>
          <w:iCs/>
          <w:sz w:val="24"/>
          <w:szCs w:val="24"/>
        </w:rPr>
        <w:t xml:space="preserve"> </w:t>
      </w:r>
      <m:oMath>
        <m:sSub>
          <m:sSubPr>
            <m:ctrlPr>
              <w:rPr>
                <w:rFonts w:ascii="Cambria Math" w:hAnsi="Cambria Math"/>
                <w:i/>
                <w:iCs/>
                <w:sz w:val="24"/>
                <w:szCs w:val="24"/>
              </w:rPr>
            </m:ctrlPr>
          </m:sSubPr>
          <m:e>
            <m:r>
              <w:rPr>
                <w:rFonts w:ascii="Cambria Math" w:hAnsi="Cambria Math"/>
                <w:sz w:val="24"/>
                <w:szCs w:val="24"/>
              </w:rPr>
              <m:t>c</m:t>
            </m:r>
          </m:e>
          <m:sub>
            <m:r>
              <w:rPr>
                <w:rFonts w:ascii="Cambria Math" w:hAnsi="Cambria Math"/>
                <w:sz w:val="24"/>
                <w:szCs w:val="24"/>
              </w:rPr>
              <m:t>i</m:t>
            </m:r>
          </m:sub>
        </m:sSub>
      </m:oMath>
      <w:r w:rsidRPr="00BD5423">
        <w:rPr>
          <w:rFonts w:ascii="Palatino Linotype" w:eastAsia="바탕" w:hAnsi="Palatino Linotype"/>
          <w:i/>
          <w:iCs/>
          <w:sz w:val="24"/>
          <w:szCs w:val="24"/>
        </w:rPr>
        <w:t xml:space="preserve"> </w:t>
      </w:r>
      <w:r w:rsidRPr="00BD5423">
        <w:rPr>
          <w:rFonts w:ascii="Palatino Linotype" w:hAnsi="Palatino Linotype"/>
          <w:i/>
          <w:iCs/>
          <w:sz w:val="24"/>
          <w:szCs w:val="24"/>
        </w:rPr>
        <w:t xml:space="preserve">is obtained by integrating the model from time step </w:t>
      </w:r>
      <m:oMath>
        <m:r>
          <w:rPr>
            <w:rFonts w:ascii="Cambria Math" w:hAnsi="Cambria Math"/>
            <w:sz w:val="24"/>
            <w:szCs w:val="24"/>
          </w:rPr>
          <m:t>i-1</m:t>
        </m:r>
      </m:oMath>
      <w:r w:rsidRPr="00BD5423">
        <w:rPr>
          <w:rFonts w:ascii="Palatino Linotype" w:hAnsi="Palatino Linotype"/>
          <w:i/>
          <w:iCs/>
          <w:sz w:val="24"/>
          <w:szCs w:val="24"/>
        </w:rPr>
        <w:t xml:space="preserve"> to </w:t>
      </w:r>
      <m:oMath>
        <m:r>
          <w:rPr>
            <w:rFonts w:ascii="Cambria Math" w:hAnsi="Cambria Math"/>
            <w:sz w:val="24"/>
            <w:szCs w:val="24"/>
          </w:rPr>
          <m:t>i</m:t>
        </m:r>
      </m:oMath>
      <w:r w:rsidRPr="00BD5423">
        <w:rPr>
          <w:rFonts w:ascii="Palatino Linotype" w:hAnsi="Palatino Linotype"/>
          <w:i/>
          <w:iCs/>
          <w:sz w:val="24"/>
          <w:szCs w:val="24"/>
        </w:rPr>
        <w:t xml:space="preserve"> using the previous concentration field </w:t>
      </w:r>
      <m:oMath>
        <m:sSub>
          <m:sSubPr>
            <m:ctrlPr>
              <w:rPr>
                <w:rFonts w:ascii="Cambria Math" w:hAnsi="Cambria Math"/>
                <w:i/>
                <w:iCs/>
                <w:sz w:val="24"/>
                <w:szCs w:val="24"/>
              </w:rPr>
            </m:ctrlPr>
          </m:sSubPr>
          <m:e>
            <m:r>
              <w:rPr>
                <w:rFonts w:ascii="Cambria Math" w:hAnsi="Cambria Math"/>
                <w:sz w:val="24"/>
                <w:szCs w:val="24"/>
              </w:rPr>
              <m:t>c</m:t>
            </m:r>
          </m:e>
          <m:sub>
            <m:r>
              <w:rPr>
                <w:rFonts w:ascii="Cambria Math" w:hAnsi="Cambria Math"/>
                <w:sz w:val="24"/>
                <w:szCs w:val="24"/>
              </w:rPr>
              <m:t>i-1</m:t>
            </m:r>
          </m:sub>
        </m:sSub>
      </m:oMath>
      <w:r w:rsidRPr="00BD5423">
        <w:rPr>
          <w:rFonts w:ascii="Palatino Linotype" w:hAnsi="Palatino Linotype"/>
          <w:i/>
          <w:iCs/>
          <w:sz w:val="24"/>
          <w:szCs w:val="24"/>
        </w:rPr>
        <w:t xml:space="preserve"> and emissions</w:t>
      </w:r>
      <w:r w:rsidRPr="00BD5423">
        <w:rPr>
          <w:rFonts w:ascii="Palatino Linotype" w:eastAsia="바탕" w:hAnsi="Palatino Linotype"/>
          <w:i/>
          <w:iCs/>
          <w:sz w:val="24"/>
          <w:szCs w:val="24"/>
        </w:rPr>
        <w:t xml:space="preserve"> </w:t>
      </w:r>
      <m:oMath>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i-1</m:t>
            </m:r>
          </m:sub>
        </m:sSub>
      </m:oMath>
      <w:r w:rsidRPr="00BD5423">
        <w:rPr>
          <w:rFonts w:ascii="Palatino Linotype" w:hAnsi="Palatino Linotype"/>
          <w:i/>
          <w:iCs/>
          <w:sz w:val="24"/>
          <w:szCs w:val="24"/>
        </w:rPr>
        <w:t xml:space="preserve">. Because </w:t>
      </w:r>
      <m:oMath>
        <m:sSub>
          <m:sSubPr>
            <m:ctrlPr>
              <w:rPr>
                <w:rFonts w:ascii="Cambria Math" w:hAnsi="Cambria Math"/>
                <w:i/>
                <w:iCs/>
                <w:sz w:val="24"/>
                <w:szCs w:val="24"/>
              </w:rPr>
            </m:ctrlPr>
          </m:sSubPr>
          <m:e>
            <m:r>
              <w:rPr>
                <w:rFonts w:ascii="Cambria Math" w:hAnsi="Cambria Math"/>
                <w:sz w:val="24"/>
                <w:szCs w:val="24"/>
              </w:rPr>
              <m:t>c</m:t>
            </m:r>
          </m:e>
          <m:sub>
            <m:r>
              <w:rPr>
                <w:rFonts w:ascii="Cambria Math" w:hAnsi="Cambria Math"/>
                <w:sz w:val="24"/>
                <w:szCs w:val="24"/>
              </w:rPr>
              <m:t>i-1</m:t>
            </m:r>
          </m:sub>
        </m:sSub>
      </m:oMath>
      <w:r w:rsidRPr="00BD5423">
        <w:rPr>
          <w:rFonts w:ascii="Palatino Linotype" w:hAnsi="Palatino Linotype"/>
          <w:i/>
          <w:iCs/>
          <w:sz w:val="24"/>
          <w:szCs w:val="24"/>
        </w:rPr>
        <w:t xml:space="preserve"> already contains the accumulated effects of earlier emissions, transport, chemical</w:t>
      </w:r>
      <w:r w:rsidR="00E028A6">
        <w:rPr>
          <w:rFonts w:ascii="Palatino Linotype" w:hAnsi="Palatino Linotype"/>
          <w:i/>
          <w:iCs/>
          <w:sz w:val="24"/>
          <w:szCs w:val="24"/>
        </w:rPr>
        <w:t xml:space="preserve"> </w:t>
      </w:r>
      <w:r w:rsidR="00E028A6" w:rsidRPr="00E028A6">
        <w:rPr>
          <w:rFonts w:ascii="Palatino Linotype" w:hAnsi="Palatino Linotype"/>
          <w:i/>
          <w:iCs/>
          <w:sz w:val="24"/>
          <w:szCs w:val="24"/>
        </w:rPr>
        <w:t>transformation</w:t>
      </w:r>
      <w:r w:rsidRPr="00BD5423">
        <w:rPr>
          <w:rFonts w:ascii="Palatino Linotype" w:hAnsi="Palatino Linotype"/>
          <w:i/>
          <w:iCs/>
          <w:sz w:val="24"/>
          <w:szCs w:val="24"/>
        </w:rPr>
        <w:t xml:space="preserve">, and initial conditions, </w:t>
      </w:r>
      <m:oMath>
        <m:sSub>
          <m:sSubPr>
            <m:ctrlPr>
              <w:rPr>
                <w:rFonts w:ascii="Cambria Math" w:hAnsi="Cambria Math"/>
                <w:i/>
                <w:iCs/>
                <w:sz w:val="24"/>
                <w:szCs w:val="24"/>
              </w:rPr>
            </m:ctrlPr>
          </m:sSubPr>
          <m:e>
            <m:r>
              <w:rPr>
                <w:rFonts w:ascii="Cambria Math" w:hAnsi="Cambria Math"/>
                <w:sz w:val="24"/>
                <w:szCs w:val="24"/>
              </w:rPr>
              <m:t>c</m:t>
            </m:r>
          </m:e>
          <m:sub>
            <m:r>
              <w:rPr>
                <w:rFonts w:ascii="Cambria Math" w:hAnsi="Cambria Math"/>
                <w:sz w:val="24"/>
                <w:szCs w:val="24"/>
              </w:rPr>
              <m:t>i</m:t>
            </m:r>
          </m:sub>
        </m:sSub>
      </m:oMath>
      <w:r w:rsidRPr="00BD5423">
        <w:rPr>
          <w:rFonts w:ascii="Palatino Linotype" w:hAnsi="Palatino Linotype"/>
          <w:i/>
          <w:iCs/>
          <w:sz w:val="24"/>
          <w:szCs w:val="24"/>
        </w:rPr>
        <w:t xml:space="preserve"> reflects the cumulative atmospheric history up to time step </w:t>
      </w:r>
      <m:oMath>
        <m:r>
          <w:rPr>
            <w:rFonts w:ascii="Cambria Math" w:hAnsi="Cambria Math"/>
            <w:sz w:val="24"/>
            <w:szCs w:val="24"/>
          </w:rPr>
          <m:t>i</m:t>
        </m:r>
      </m:oMath>
      <w:r w:rsidRPr="00BD5423">
        <w:rPr>
          <w:rFonts w:ascii="Palatino Linotype" w:hAnsi="Palatino Linotype"/>
          <w:i/>
          <w:iCs/>
          <w:sz w:val="24"/>
          <w:szCs w:val="24"/>
        </w:rPr>
        <w:t xml:space="preserve"> rather than the influence of </w:t>
      </w:r>
      <m:oMath>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i-1</m:t>
            </m:r>
          </m:sub>
        </m:sSub>
      </m:oMath>
      <w:r w:rsidRPr="00BD5423">
        <w:rPr>
          <w:rFonts w:ascii="Palatino Linotype" w:hAnsi="Palatino Linotype"/>
          <w:i/>
          <w:iCs/>
          <w:sz w:val="24"/>
          <w:szCs w:val="24"/>
        </w:rPr>
        <w:t xml:space="preserve"> alone. Consequently, to appropriately account for the transport and chemical processing time in the adjoint backward integration, the observation term is evaluated from </w:t>
      </w:r>
      <m:oMath>
        <m:r>
          <w:rPr>
            <w:rFonts w:ascii="Cambria Math" w:hAnsi="Cambria Math"/>
            <w:sz w:val="24"/>
            <w:szCs w:val="24"/>
          </w:rPr>
          <m:t>i=1</m:t>
        </m:r>
      </m:oMath>
      <w:r w:rsidRPr="00BD5423">
        <w:rPr>
          <w:rFonts w:ascii="Palatino Linotype" w:eastAsia="바탕" w:hAnsi="Palatino Linotype"/>
          <w:i/>
          <w:iCs/>
          <w:sz w:val="24"/>
          <w:szCs w:val="24"/>
        </w:rPr>
        <w:t xml:space="preserve"> to </w:t>
      </w:r>
      <m:oMath>
        <m:r>
          <w:rPr>
            <w:rFonts w:ascii="Cambria Math" w:hAnsi="Cambria Math"/>
            <w:sz w:val="24"/>
            <w:szCs w:val="24"/>
          </w:rPr>
          <m:t>n</m:t>
        </m:r>
      </m:oMath>
      <w:r w:rsidRPr="00BD5423">
        <w:rPr>
          <w:rFonts w:ascii="Palatino Linotype" w:hAnsi="Palatino Linotype"/>
          <w:i/>
          <w:iCs/>
          <w:sz w:val="24"/>
          <w:szCs w:val="24"/>
        </w:rPr>
        <w:t>, corresponding to the concentrations driven by</w:t>
      </w:r>
      <w:r w:rsidR="005550FB">
        <w:rPr>
          <w:rFonts w:ascii="Palatino Linotype" w:hAnsi="Palatino Linotype"/>
          <w:i/>
          <w:iCs/>
          <w:sz w:val="24"/>
          <w:szCs w:val="24"/>
        </w:rPr>
        <w:t xml:space="preserve"> </w:t>
      </w:r>
      <w:r w:rsidRPr="00BD5423">
        <w:rPr>
          <w:rFonts w:ascii="Palatino Linotype" w:hAnsi="Palatino Linotype"/>
          <w:i/>
          <w:iCs/>
          <w:sz w:val="24"/>
          <w:szCs w:val="24"/>
        </w:rPr>
        <w:t xml:space="preserve">emissions </w:t>
      </w:r>
      <w:r w:rsidR="005550FB">
        <w:rPr>
          <w:rFonts w:ascii="Palatino Linotype" w:hAnsi="Palatino Linotype"/>
          <w:i/>
          <w:iCs/>
          <w:sz w:val="24"/>
          <w:szCs w:val="24"/>
        </w:rPr>
        <w:t xml:space="preserve">from </w:t>
      </w:r>
      <m:oMath>
        <m:r>
          <w:rPr>
            <w:rFonts w:ascii="Cambria Math" w:hAnsi="Cambria Math"/>
            <w:sz w:val="24"/>
            <w:szCs w:val="24"/>
          </w:rPr>
          <m:t>i=0</m:t>
        </m:r>
      </m:oMath>
      <w:r w:rsidRPr="00BD5423">
        <w:rPr>
          <w:rFonts w:ascii="Palatino Linotype" w:eastAsia="바탕" w:hAnsi="Palatino Linotype"/>
          <w:i/>
          <w:iCs/>
          <w:sz w:val="24"/>
          <w:szCs w:val="24"/>
        </w:rPr>
        <w:t xml:space="preserve"> to </w:t>
      </w:r>
      <m:oMath>
        <m:r>
          <w:rPr>
            <w:rFonts w:ascii="Cambria Math" w:hAnsi="Cambria Math"/>
            <w:sz w:val="24"/>
            <w:szCs w:val="24"/>
          </w:rPr>
          <m:t>n-1</m:t>
        </m:r>
      </m:oMath>
      <w:r w:rsidRPr="00BD5423">
        <w:rPr>
          <w:rFonts w:ascii="Palatino Linotype" w:eastAsia="바탕" w:hAnsi="Palatino Linotype"/>
          <w:i/>
          <w:iCs/>
          <w:sz w:val="24"/>
          <w:szCs w:val="24"/>
        </w:rPr>
        <w:t>.</w:t>
      </w:r>
    </w:p>
    <w:p w14:paraId="7F7A9D2B" w14:textId="1F8E5782" w:rsidR="001A5AEB" w:rsidRDefault="001A5AEB">
      <w:pPr>
        <w:widowControl/>
        <w:wordWrap/>
        <w:autoSpaceDE/>
        <w:autoSpaceDN/>
        <w:rPr>
          <w:rFonts w:ascii="Palatino Linotype" w:eastAsia="굴림" w:hAnsi="Palatino Linotype" w:cs="Times New Roman"/>
          <w:i/>
          <w:iCs/>
          <w:color w:val="0A0A0A"/>
          <w:kern w:val="0"/>
          <w:sz w:val="24"/>
          <w:szCs w:val="24"/>
        </w:rPr>
      </w:pPr>
      <w:r>
        <w:rPr>
          <w:rFonts w:ascii="Palatino Linotype" w:eastAsia="굴림" w:hAnsi="Palatino Linotype" w:cs="Times New Roman"/>
          <w:i/>
          <w:iCs/>
          <w:color w:val="0A0A0A"/>
          <w:kern w:val="0"/>
          <w:sz w:val="24"/>
          <w:szCs w:val="24"/>
        </w:rPr>
        <w:br w:type="page"/>
      </w:r>
    </w:p>
    <w:p w14:paraId="31CC0D8B" w14:textId="0B6B1FC1" w:rsidR="008F3FFF" w:rsidRDefault="00E5526A" w:rsidP="00D25834">
      <w:pPr>
        <w:widowControl/>
        <w:wordWrap/>
        <w:autoSpaceDE/>
        <w:autoSpaceDN/>
        <w:rPr>
          <w:rFonts w:ascii="Palatino Linotype" w:eastAsia="굴림" w:hAnsi="Palatino Linotype" w:cs="Times New Roman"/>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Pr>
          <w:rFonts w:ascii="Palatino Linotype" w:eastAsia="굴림" w:hAnsi="Palatino Linotype" w:cs="Times New Roman"/>
          <w:b/>
          <w:bCs/>
          <w:color w:val="0A0A0A"/>
          <w:kern w:val="0"/>
          <w:sz w:val="24"/>
          <w:szCs w:val="24"/>
        </w:rPr>
        <w:t xml:space="preserve"> 3</w:t>
      </w:r>
    </w:p>
    <w:p w14:paraId="4F823840" w14:textId="7BFB352C" w:rsidR="00D25834" w:rsidRPr="00D25834" w:rsidRDefault="008F3FFF" w:rsidP="00D25834">
      <w:pPr>
        <w:widowControl/>
        <w:wordWrap/>
        <w:autoSpaceDE/>
        <w:autoSpaceDN/>
        <w:rPr>
          <w:rFonts w:ascii="Palatino Linotype" w:eastAsia="굴림" w:hAnsi="Palatino Linotype" w:cs="Times New Roman"/>
          <w:color w:val="0A0A0A"/>
          <w:kern w:val="0"/>
          <w:sz w:val="24"/>
          <w:szCs w:val="24"/>
        </w:rPr>
      </w:pPr>
      <w:r w:rsidRPr="008F3FFF">
        <w:rPr>
          <w:rFonts w:ascii="Palatino Linotype" w:eastAsia="굴림" w:hAnsi="Palatino Linotype" w:cs="Times New Roman"/>
          <w:color w:val="0A0A0A"/>
          <w:kern w:val="0"/>
          <w:sz w:val="24"/>
          <w:szCs w:val="24"/>
        </w:rPr>
        <w:t>General: Why is this hybrid approach better than just applying 4D-Var to assimilate satellite and AQMS measurements simultaneously? It seems like the addition of a 3D-Var and FDMB inversion as a precursor to this add computational cost and complexity, but I’m not sure if the value has been explained or demonstrated. If, for example, this approach for example allows the 4D-Var inversion to converge in fewer iterations, that should be stated (and demonstrated).</w:t>
      </w:r>
    </w:p>
    <w:p w14:paraId="601A8EF8" w14:textId="77777777" w:rsidR="00E5526A" w:rsidRDefault="00E5526A" w:rsidP="00D25834">
      <w:pPr>
        <w:widowControl/>
        <w:wordWrap/>
        <w:autoSpaceDE/>
        <w:autoSpaceDN/>
        <w:rPr>
          <w:rFonts w:ascii="Palatino Linotype" w:eastAsia="굴림" w:hAnsi="Palatino Linotype" w:cs="Times New Roman"/>
          <w:color w:val="0A0A0A"/>
          <w:kern w:val="0"/>
          <w:sz w:val="24"/>
          <w:szCs w:val="24"/>
        </w:rPr>
      </w:pPr>
    </w:p>
    <w:p w14:paraId="07A3B46F" w14:textId="7C069074" w:rsidR="00B65568" w:rsidRDefault="00DE7D0E" w:rsidP="00B65568">
      <w:pPr>
        <w:widowControl/>
        <w:wordWrap/>
        <w:autoSpaceDE/>
        <w:autoSpaceDN/>
        <w:rPr>
          <w:rFonts w:ascii="Palatino Linotype" w:hAnsi="Palatino Linotype" w:cs="Times New Roman"/>
          <w:b/>
          <w:bCs/>
          <w:sz w:val="24"/>
          <w:szCs w:val="28"/>
          <w:shd w:val="clear" w:color="auto" w:fill="FFFFFF"/>
        </w:rPr>
      </w:pPr>
      <w:r w:rsidRPr="00B65568">
        <w:rPr>
          <w:rFonts w:ascii="Palatino Linotype" w:hAnsi="Palatino Linotype" w:cs="Times New Roman"/>
          <w:b/>
          <w:bCs/>
          <w:color w:val="FF0000"/>
          <w:sz w:val="24"/>
          <w:szCs w:val="28"/>
          <w:shd w:val="clear" w:color="auto" w:fill="FFFFFF"/>
        </w:rPr>
        <w:t>Response</w:t>
      </w:r>
      <w:r w:rsidRPr="00B65568">
        <w:rPr>
          <w:rFonts w:ascii="Palatino Linotype" w:hAnsi="Palatino Linotype" w:cs="Times New Roman"/>
          <w:b/>
          <w:bCs/>
          <w:sz w:val="24"/>
          <w:szCs w:val="28"/>
          <w:shd w:val="clear" w:color="auto" w:fill="FFFFFF"/>
        </w:rPr>
        <w:t>:</w:t>
      </w:r>
      <w:r w:rsidR="00D144A6" w:rsidRPr="00B65568">
        <w:rPr>
          <w:rFonts w:ascii="Palatino Linotype" w:hAnsi="Palatino Linotype" w:cs="Times New Roman"/>
          <w:b/>
          <w:bCs/>
          <w:sz w:val="24"/>
          <w:szCs w:val="28"/>
          <w:shd w:val="clear" w:color="auto" w:fill="FFFFFF"/>
        </w:rPr>
        <w:t xml:space="preserve"> </w:t>
      </w:r>
      <w:r w:rsidR="00B65568" w:rsidRPr="00B65568">
        <w:rPr>
          <w:rFonts w:ascii="Palatino Linotype" w:hAnsi="Palatino Linotype" w:cs="Times New Roman"/>
          <w:b/>
          <w:bCs/>
          <w:sz w:val="24"/>
          <w:szCs w:val="28"/>
          <w:shd w:val="clear" w:color="auto" w:fill="FFFFFF"/>
        </w:rPr>
        <w:t>We sincerely thank the reviewer for this sharp and insightful assessment regarding the value of our hybrid framework compared to a standalone 4D-Var approach. We agree that introducing 3D-Var and FDMB as pre-conditioning steps adds computational complexity, and therefore, their methodological value and effects must be clearly stated. We have detailed our rationale below and added these justifications to the revised manuscript:</w:t>
      </w:r>
    </w:p>
    <w:p w14:paraId="1A01DF43" w14:textId="77777777" w:rsidR="00100DFC" w:rsidRPr="00B65568" w:rsidRDefault="00100DFC" w:rsidP="00B65568">
      <w:pPr>
        <w:widowControl/>
        <w:wordWrap/>
        <w:autoSpaceDE/>
        <w:autoSpaceDN/>
        <w:rPr>
          <w:rFonts w:ascii="Palatino Linotype" w:hAnsi="Palatino Linotype" w:cs="Times New Roman"/>
          <w:b/>
          <w:bCs/>
          <w:sz w:val="24"/>
          <w:szCs w:val="28"/>
          <w:shd w:val="clear" w:color="auto" w:fill="FFFFFF"/>
        </w:rPr>
      </w:pPr>
    </w:p>
    <w:p w14:paraId="22F91F31" w14:textId="77777777" w:rsidR="00862AA1" w:rsidRDefault="00862AA1" w:rsidP="00B65568">
      <w:pPr>
        <w:widowControl/>
        <w:wordWrap/>
        <w:autoSpaceDE/>
        <w:autoSpaceDN/>
        <w:rPr>
          <w:rFonts w:ascii="Palatino Linotype" w:hAnsi="Palatino Linotype" w:cs="Times New Roman"/>
          <w:b/>
          <w:bCs/>
          <w:sz w:val="24"/>
          <w:szCs w:val="28"/>
          <w:shd w:val="clear" w:color="auto" w:fill="FFFFFF"/>
        </w:rPr>
      </w:pPr>
      <w:r w:rsidRPr="00862AA1">
        <w:rPr>
          <w:rFonts w:ascii="Palatino Linotype" w:hAnsi="Palatino Linotype" w:cs="Times New Roman"/>
          <w:b/>
          <w:bCs/>
          <w:sz w:val="24"/>
          <w:szCs w:val="28"/>
          <w:shd w:val="clear" w:color="auto" w:fill="FFFFFF"/>
        </w:rPr>
        <w:t>(1) Role of FDMB as spatial preconditioning before 4D-Var</w:t>
      </w:r>
    </w:p>
    <w:p w14:paraId="37C88FF6" w14:textId="599DED28" w:rsidR="00B65568" w:rsidRDefault="00B65568" w:rsidP="00B65568">
      <w:pPr>
        <w:widowControl/>
        <w:wordWrap/>
        <w:autoSpaceDE/>
        <w:autoSpaceDN/>
        <w:rPr>
          <w:rFonts w:ascii="Palatino Linotype" w:hAnsi="Palatino Linotype" w:cs="Times New Roman"/>
          <w:b/>
          <w:bCs/>
          <w:sz w:val="24"/>
          <w:szCs w:val="28"/>
          <w:shd w:val="clear" w:color="auto" w:fill="FFFFFF"/>
        </w:rPr>
      </w:pPr>
      <w:r w:rsidRPr="00B65568">
        <w:rPr>
          <w:rFonts w:ascii="Palatino Linotype" w:hAnsi="Palatino Linotype" w:cs="Times New Roman"/>
          <w:b/>
          <w:bCs/>
          <w:sz w:val="24"/>
          <w:szCs w:val="28"/>
          <w:shd w:val="clear" w:color="auto" w:fill="FFFFFF"/>
        </w:rPr>
        <w:t xml:space="preserve">In our previous observing system simulation experiment (OSSE) (Moon et al., 2024), we quantitatively compared Mass </w:t>
      </w:r>
      <w:r w:rsidR="00086EAB">
        <w:rPr>
          <w:rFonts w:ascii="Palatino Linotype" w:hAnsi="Palatino Linotype" w:cs="Times New Roman"/>
          <w:b/>
          <w:bCs/>
          <w:sz w:val="24"/>
          <w:szCs w:val="28"/>
          <w:shd w:val="clear" w:color="auto" w:fill="FFFFFF"/>
        </w:rPr>
        <w:t>b</w:t>
      </w:r>
      <w:r w:rsidRPr="00B65568">
        <w:rPr>
          <w:rFonts w:ascii="Palatino Linotype" w:hAnsi="Palatino Linotype" w:cs="Times New Roman"/>
          <w:b/>
          <w:bCs/>
          <w:sz w:val="24"/>
          <w:szCs w:val="28"/>
          <w:shd w:val="clear" w:color="auto" w:fill="FFFFFF"/>
        </w:rPr>
        <w:t xml:space="preserve">alance, </w:t>
      </w:r>
      <w:r w:rsidR="00686CDC">
        <w:rPr>
          <w:rFonts w:ascii="Palatino Linotype" w:hAnsi="Palatino Linotype" w:cs="Times New Roman"/>
          <w:b/>
          <w:bCs/>
          <w:sz w:val="24"/>
          <w:szCs w:val="28"/>
          <w:shd w:val="clear" w:color="auto" w:fill="FFFFFF"/>
        </w:rPr>
        <w:t>4</w:t>
      </w:r>
      <w:r w:rsidRPr="00B65568">
        <w:rPr>
          <w:rFonts w:ascii="Palatino Linotype" w:hAnsi="Palatino Linotype" w:cs="Times New Roman"/>
          <w:b/>
          <w:bCs/>
          <w:sz w:val="24"/>
          <w:szCs w:val="28"/>
          <w:shd w:val="clear" w:color="auto" w:fill="FFFFFF"/>
        </w:rPr>
        <w:t xml:space="preserve">D-Var, and hybrid inversions. The results demonstrated that a standalone 4D-Var approach struggles structurally to effectively correct emissions in grids where the spatial error of the prior emissions is exceptionally large. </w:t>
      </w:r>
      <w:r w:rsidR="00D97AAA" w:rsidRPr="00D97AAA">
        <w:rPr>
          <w:rFonts w:ascii="Palatino Linotype" w:hAnsi="Palatino Linotype" w:cs="Times New Roman"/>
          <w:b/>
          <w:bCs/>
          <w:sz w:val="24"/>
          <w:szCs w:val="28"/>
          <w:shd w:val="clear" w:color="auto" w:fill="FFFFFF"/>
        </w:rPr>
        <w:t>Because this limitation was evident even in experiments using gridded synthetic observations, directly assimilating actual satellite and AQMS data into a standalone 4D-Var system may face similar challenges.</w:t>
      </w:r>
      <w:r w:rsidRPr="00B65568">
        <w:rPr>
          <w:rFonts w:ascii="Palatino Linotype" w:hAnsi="Palatino Linotype" w:cs="Times New Roman"/>
          <w:b/>
          <w:bCs/>
          <w:sz w:val="24"/>
          <w:szCs w:val="28"/>
          <w:shd w:val="clear" w:color="auto" w:fill="FFFFFF"/>
        </w:rPr>
        <w:t xml:space="preserve"> In contrast, the Mass </w:t>
      </w:r>
      <w:r w:rsidR="00086EAB">
        <w:rPr>
          <w:rFonts w:ascii="Palatino Linotype" w:hAnsi="Palatino Linotype" w:cs="Times New Roman"/>
          <w:b/>
          <w:bCs/>
          <w:sz w:val="24"/>
          <w:szCs w:val="28"/>
          <w:shd w:val="clear" w:color="auto" w:fill="FFFFFF"/>
        </w:rPr>
        <w:t>b</w:t>
      </w:r>
      <w:r w:rsidRPr="00B65568">
        <w:rPr>
          <w:rFonts w:ascii="Palatino Linotype" w:hAnsi="Palatino Linotype" w:cs="Times New Roman"/>
          <w:b/>
          <w:bCs/>
          <w:sz w:val="24"/>
          <w:szCs w:val="28"/>
          <w:shd w:val="clear" w:color="auto" w:fill="FFFFFF"/>
        </w:rPr>
        <w:t xml:space="preserve">alance approach is highly effective at correcting the spatial distribution of emissions but inherently lacks the ability to optimize temporal variations. </w:t>
      </w:r>
      <w:r w:rsidR="00AE5B21" w:rsidRPr="00AE5B21">
        <w:rPr>
          <w:rFonts w:ascii="Palatino Linotype" w:hAnsi="Palatino Linotype" w:cs="Times New Roman"/>
          <w:b/>
          <w:bCs/>
          <w:sz w:val="24"/>
          <w:szCs w:val="28"/>
          <w:shd w:val="clear" w:color="auto" w:fill="FFFFFF"/>
        </w:rPr>
        <w:t>By sequentially combining them, the FDMB step establishes an improved spatial baseline.</w:t>
      </w:r>
      <w:r w:rsidR="00AE5B21">
        <w:rPr>
          <w:rFonts w:ascii="Palatino Linotype" w:hAnsi="Palatino Linotype" w:cs="Times New Roman"/>
          <w:b/>
          <w:bCs/>
          <w:sz w:val="24"/>
          <w:szCs w:val="28"/>
          <w:shd w:val="clear" w:color="auto" w:fill="FFFFFF"/>
        </w:rPr>
        <w:t xml:space="preserve"> </w:t>
      </w:r>
      <w:r w:rsidR="00B969E1" w:rsidRPr="00B969E1">
        <w:rPr>
          <w:rFonts w:ascii="Palatino Linotype" w:hAnsi="Palatino Linotype" w:cs="Times New Roman"/>
          <w:b/>
          <w:bCs/>
          <w:sz w:val="24"/>
          <w:szCs w:val="28"/>
          <w:shd w:val="clear" w:color="auto" w:fill="FFFFFF"/>
        </w:rPr>
        <w:t>This preconditioning allows the subsequent 4D-Var step to focus more effectively on temporal variability and multi-species chemical feedbacks while reducing the influence of large prior spatial errors.</w:t>
      </w:r>
    </w:p>
    <w:p w14:paraId="7FCBCCC7" w14:textId="77777777" w:rsidR="00100DFC" w:rsidRDefault="00100DFC" w:rsidP="00B65568">
      <w:pPr>
        <w:widowControl/>
        <w:wordWrap/>
        <w:autoSpaceDE/>
        <w:autoSpaceDN/>
        <w:rPr>
          <w:rFonts w:ascii="Palatino Linotype" w:hAnsi="Palatino Linotype" w:cs="Times New Roman"/>
          <w:b/>
          <w:bCs/>
          <w:sz w:val="24"/>
          <w:szCs w:val="28"/>
          <w:shd w:val="clear" w:color="auto" w:fill="FFFFFF"/>
        </w:rPr>
      </w:pPr>
    </w:p>
    <w:p w14:paraId="380B477B" w14:textId="0D661DD4" w:rsidR="00034768" w:rsidRPr="00B65568" w:rsidRDefault="00034768" w:rsidP="00B65568">
      <w:pPr>
        <w:widowControl/>
        <w:wordWrap/>
        <w:autoSpaceDE/>
        <w:autoSpaceDN/>
        <w:rPr>
          <w:rFonts w:ascii="Palatino Linotype" w:hAnsi="Palatino Linotype" w:cs="Times New Roman"/>
          <w:b/>
          <w:bCs/>
          <w:sz w:val="24"/>
          <w:szCs w:val="28"/>
          <w:shd w:val="clear" w:color="auto" w:fill="FFFFFF"/>
        </w:rPr>
      </w:pPr>
      <w:r w:rsidRPr="00034768">
        <w:rPr>
          <w:rFonts w:ascii="Palatino Linotype" w:hAnsi="Palatino Linotype" w:cs="Times New Roman"/>
          <w:b/>
          <w:bCs/>
          <w:sz w:val="24"/>
          <w:szCs w:val="28"/>
          <w:shd w:val="clear" w:color="auto" w:fill="FFFFFF"/>
        </w:rPr>
        <w:t>(2) Role of 3D-Var in reducing observational noise before FDMB</w:t>
      </w:r>
    </w:p>
    <w:p w14:paraId="7122BEF1" w14:textId="06D5EC6E" w:rsidR="00B65568" w:rsidRPr="00B65568" w:rsidRDefault="00B65568" w:rsidP="00B65568">
      <w:pPr>
        <w:widowControl/>
        <w:wordWrap/>
        <w:autoSpaceDE/>
        <w:autoSpaceDN/>
        <w:rPr>
          <w:rFonts w:ascii="Palatino Linotype" w:hAnsi="Palatino Linotype" w:cs="Times New Roman"/>
          <w:b/>
          <w:bCs/>
          <w:sz w:val="24"/>
          <w:szCs w:val="28"/>
          <w:shd w:val="clear" w:color="auto" w:fill="FFFFFF"/>
        </w:rPr>
      </w:pPr>
      <w:r w:rsidRPr="00B65568">
        <w:rPr>
          <w:rFonts w:ascii="Palatino Linotype" w:hAnsi="Palatino Linotype" w:cs="Times New Roman"/>
          <w:b/>
          <w:bCs/>
          <w:sz w:val="24"/>
          <w:szCs w:val="28"/>
          <w:shd w:val="clear" w:color="auto" w:fill="FFFFFF"/>
        </w:rPr>
        <w:t xml:space="preserve">As mentioned in our response to Comment 1, while the FDMB method excels at spatial scaling, it is highly vulnerable to the amplification of satellite retrieval noise and smearing effects at our fine 9 km resolution. If raw satellite data were fed directly into the inversion, this observational noise would propagate directly into </w:t>
      </w:r>
      <w:r w:rsidRPr="00B65568">
        <w:rPr>
          <w:rFonts w:ascii="Palatino Linotype" w:hAnsi="Palatino Linotype" w:cs="Times New Roman"/>
          <w:b/>
          <w:bCs/>
          <w:sz w:val="24"/>
          <w:szCs w:val="28"/>
          <w:shd w:val="clear" w:color="auto" w:fill="FFFFFF"/>
        </w:rPr>
        <w:lastRenderedPageBreak/>
        <w:t xml:space="preserve">the top-down emission fields, ironically increasing the overall error. To resolve this, we adopted the approach of East et al. (2022) by introducing a 3D-Var assimilation step. </w:t>
      </w:r>
      <w:r w:rsidR="003B5703" w:rsidRPr="003B5703">
        <w:rPr>
          <w:rFonts w:ascii="Palatino Linotype" w:hAnsi="Palatino Linotype" w:cs="Times New Roman"/>
          <w:b/>
          <w:bCs/>
          <w:sz w:val="24"/>
          <w:szCs w:val="28"/>
          <w:shd w:val="clear" w:color="auto" w:fill="FFFFFF"/>
        </w:rPr>
        <w:t>3D-Var acts as a pre-filter that provides chemically and physically consistent constraints for the FDMB calculation, thereby mitigating the propagation of observational uncertainties</w:t>
      </w:r>
      <w:r w:rsidR="00DA0310">
        <w:rPr>
          <w:rFonts w:ascii="Palatino Linotype" w:hAnsi="Palatino Linotype" w:cs="Times New Roman"/>
          <w:b/>
          <w:bCs/>
          <w:sz w:val="24"/>
          <w:szCs w:val="28"/>
          <w:shd w:val="clear" w:color="auto" w:fill="FFFFFF"/>
        </w:rPr>
        <w:t xml:space="preserve"> (</w:t>
      </w:r>
      <w:r w:rsidR="00DA0310" w:rsidRPr="00B65568">
        <w:rPr>
          <w:rFonts w:ascii="Palatino Linotype" w:hAnsi="Palatino Linotype" w:cs="Times New Roman"/>
          <w:b/>
          <w:bCs/>
          <w:sz w:val="24"/>
          <w:szCs w:val="28"/>
          <w:shd w:val="clear" w:color="auto" w:fill="FFFFFF"/>
        </w:rPr>
        <w:t>East et al.</w:t>
      </w:r>
      <w:r w:rsidR="00DA0310">
        <w:rPr>
          <w:rFonts w:ascii="Palatino Linotype" w:hAnsi="Palatino Linotype" w:cs="Times New Roman"/>
          <w:b/>
          <w:bCs/>
          <w:sz w:val="24"/>
          <w:szCs w:val="28"/>
          <w:shd w:val="clear" w:color="auto" w:fill="FFFFFF"/>
        </w:rPr>
        <w:t xml:space="preserve">, </w:t>
      </w:r>
      <w:r w:rsidR="00DA0310" w:rsidRPr="00B65568">
        <w:rPr>
          <w:rFonts w:ascii="Palatino Linotype" w:hAnsi="Palatino Linotype" w:cs="Times New Roman"/>
          <w:b/>
          <w:bCs/>
          <w:sz w:val="24"/>
          <w:szCs w:val="28"/>
          <w:shd w:val="clear" w:color="auto" w:fill="FFFFFF"/>
        </w:rPr>
        <w:t>2022</w:t>
      </w:r>
      <w:r w:rsidR="00DA0310">
        <w:rPr>
          <w:rFonts w:ascii="Palatino Linotype" w:hAnsi="Palatino Linotype" w:cs="Times New Roman"/>
          <w:b/>
          <w:bCs/>
          <w:sz w:val="24"/>
          <w:szCs w:val="28"/>
          <w:shd w:val="clear" w:color="auto" w:fill="FFFFFF"/>
        </w:rPr>
        <w:t>)</w:t>
      </w:r>
      <w:r w:rsidRPr="00B65568">
        <w:rPr>
          <w:rFonts w:ascii="Palatino Linotype" w:hAnsi="Palatino Linotype" w:cs="Times New Roman"/>
          <w:b/>
          <w:bCs/>
          <w:sz w:val="24"/>
          <w:szCs w:val="28"/>
          <w:shd w:val="clear" w:color="auto" w:fill="FFFFFF"/>
        </w:rPr>
        <w:t>. Furthermore, our pseudo-observation experiments (Moon, 2025) quantitatively confirmed that applying 3D-Var to block noise propagation effectively reduces the final emission errors.</w:t>
      </w:r>
    </w:p>
    <w:p w14:paraId="4348FD67" w14:textId="4DCDD4DE" w:rsidR="00D93E36" w:rsidRDefault="00D93E36" w:rsidP="00B65568">
      <w:pPr>
        <w:widowControl/>
        <w:wordWrap/>
        <w:autoSpaceDE/>
        <w:autoSpaceDN/>
        <w:rPr>
          <w:rFonts w:ascii="Palatino Linotype" w:hAnsi="Palatino Linotype" w:cs="Times New Roman"/>
          <w:b/>
          <w:bCs/>
          <w:sz w:val="24"/>
          <w:szCs w:val="28"/>
          <w:shd w:val="clear" w:color="auto" w:fill="FFFFFF"/>
        </w:rPr>
      </w:pPr>
      <w:r w:rsidRPr="00D93E36">
        <w:rPr>
          <w:rFonts w:ascii="Palatino Linotype" w:hAnsi="Palatino Linotype" w:cs="Times New Roman"/>
          <w:b/>
          <w:bCs/>
          <w:sz w:val="24"/>
          <w:szCs w:val="28"/>
          <w:shd w:val="clear" w:color="auto" w:fill="FFFFFF"/>
        </w:rPr>
        <w:t>We have added detailed descriptions of the rationale for the hybrid approach in Section 2.3.3 and the error reduction achieved by incorporating 3D-Var in Section 2.3.</w:t>
      </w:r>
      <w:r w:rsidR="00F21AC7">
        <w:rPr>
          <w:rFonts w:ascii="Palatino Linotype" w:hAnsi="Palatino Linotype" w:cs="Times New Roman"/>
          <w:b/>
          <w:bCs/>
          <w:sz w:val="24"/>
          <w:szCs w:val="28"/>
          <w:shd w:val="clear" w:color="auto" w:fill="FFFFFF"/>
        </w:rPr>
        <w:t>1</w:t>
      </w:r>
      <w:r w:rsidRPr="00D93E36">
        <w:rPr>
          <w:rFonts w:ascii="Palatino Linotype" w:hAnsi="Palatino Linotype" w:cs="Times New Roman"/>
          <w:b/>
          <w:bCs/>
          <w:sz w:val="24"/>
          <w:szCs w:val="28"/>
          <w:shd w:val="clear" w:color="auto" w:fill="FFFFFF"/>
        </w:rPr>
        <w:t xml:space="preserve"> of the revised manuscript.</w:t>
      </w:r>
    </w:p>
    <w:p w14:paraId="07C8C2B4" w14:textId="77777777" w:rsidR="00E568D7" w:rsidRPr="00100DFC" w:rsidRDefault="00E568D7" w:rsidP="00B65568">
      <w:pPr>
        <w:widowControl/>
        <w:wordWrap/>
        <w:autoSpaceDE/>
        <w:autoSpaceDN/>
        <w:rPr>
          <w:rFonts w:ascii="Palatino Linotype" w:hAnsi="Palatino Linotype" w:cs="Times New Roman"/>
          <w:b/>
          <w:bCs/>
          <w:sz w:val="24"/>
          <w:szCs w:val="28"/>
          <w:shd w:val="clear" w:color="auto" w:fill="FFFFFF"/>
        </w:rPr>
      </w:pPr>
    </w:p>
    <w:p w14:paraId="3E04CF04" w14:textId="21A045C6" w:rsidR="007B6503" w:rsidRPr="007B6503" w:rsidRDefault="007B6503" w:rsidP="007B6503">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&lt;Section 2.</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sidR="008C7FDC">
        <w:rPr>
          <w:rFonts w:ascii="Palatino Linotype" w:hAnsi="Palatino Linotype" w:cs="Times New Roman"/>
          <w:i/>
          <w:color w:val="0A0A0A"/>
          <w:sz w:val="24"/>
          <w:szCs w:val="24"/>
          <w:shd w:val="clear" w:color="auto" w:fill="FEFEFE"/>
        </w:rPr>
        <w:t>1</w:t>
      </w:r>
      <w:r w:rsidRPr="00964E09">
        <w:rPr>
          <w:rFonts w:ascii="Palatino Linotype" w:hAnsi="Palatino Linotype" w:cs="Times New Roman"/>
          <w:i/>
          <w:color w:val="0A0A0A"/>
          <w:sz w:val="24"/>
          <w:szCs w:val="24"/>
          <w:shd w:val="clear" w:color="auto" w:fill="FEFEFE"/>
        </w:rPr>
        <w:t xml:space="preserve"> in the revised manuscript&gt;</w:t>
      </w:r>
    </w:p>
    <w:p w14:paraId="7093288C" w14:textId="7F6D10ED" w:rsidR="007B6503" w:rsidRPr="007B6503" w:rsidRDefault="0096325F" w:rsidP="00B65568">
      <w:pPr>
        <w:widowControl/>
        <w:wordWrap/>
        <w:autoSpaceDE/>
        <w:autoSpaceDN/>
        <w:rPr>
          <w:rFonts w:ascii="Palatino Linotype" w:hAnsi="Palatino Linotype" w:cs="Times New Roman"/>
          <w:b/>
          <w:bCs/>
          <w:i/>
          <w:iCs/>
          <w:sz w:val="24"/>
          <w:szCs w:val="28"/>
          <w:shd w:val="clear" w:color="auto" w:fill="FFFFFF"/>
        </w:rPr>
      </w:pPr>
      <w:r w:rsidRPr="0096325F">
        <w:rPr>
          <w:rFonts w:ascii="Palatino Linotype" w:hAnsi="Palatino Linotype"/>
          <w:i/>
          <w:iCs/>
          <w:sz w:val="24"/>
          <w:szCs w:val="28"/>
        </w:rPr>
        <w:t>To address these challenges associated with observational uncertainties and noise propagation, we incorporated a 3D-Var data assimilation step into our framework to generate a smoothed analysis field as the observational constraint for the FDMB inversion. In this configuration, the 3D-Var step serves as an observational constraint that provides chemically and physically consistent constraints to mitigate error propagation into the top-down emission fields (East et al., 2022), allowing the FDMB inversion to establish a robust spatial baseline (Fig. 2).</w:t>
      </w:r>
    </w:p>
    <w:p w14:paraId="7195F4C7" w14:textId="54959237" w:rsidR="007B6503" w:rsidRPr="007B6503" w:rsidRDefault="007B6503" w:rsidP="007B6503">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&lt;Section 2.</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 xml:space="preserve"> in the revised manuscript&gt;</w:t>
      </w:r>
    </w:p>
    <w:p w14:paraId="23E28370" w14:textId="47903A7C" w:rsidR="00D645D6" w:rsidRDefault="00E568D7" w:rsidP="00B65568">
      <w:pPr>
        <w:widowControl/>
        <w:wordWrap/>
        <w:autoSpaceDE/>
        <w:autoSpaceDN/>
        <w:rPr>
          <w:rFonts w:ascii="Palatino Linotype" w:eastAsia="굴림" w:hAnsi="Palatino Linotype" w:cs="Times New Roman"/>
          <w:i/>
          <w:iCs/>
          <w:color w:val="0A0A0A"/>
          <w:kern w:val="0"/>
          <w:sz w:val="24"/>
          <w:szCs w:val="24"/>
        </w:rPr>
      </w:pPr>
      <w:r w:rsidRPr="00C36F55">
        <w:rPr>
          <w:rFonts w:ascii="Palatino Linotype" w:eastAsia="굴림" w:hAnsi="Palatino Linotype" w:cs="Times New Roman"/>
          <w:i/>
          <w:iCs/>
          <w:color w:val="0A0A0A"/>
          <w:kern w:val="0"/>
          <w:sz w:val="24"/>
          <w:szCs w:val="24"/>
        </w:rPr>
        <w:t>A model-based twin experiment by Moon et al. (2024) demonstrated that a standalone 4D-Var approach structurally struggles to effectively correct emissions in grid cells with exceptionally large prior spatial errors. By sequentially combining these methods, the FDMB step establishes a robust and accurate spatial baseline, which enables the subsequent 4D-Var step to focus more effectively on optimizing diurnal temporal variations and multi-species chemical feedbacks, while reducing the influence of spatial distribution errors in the prior emissions.</w:t>
      </w:r>
    </w:p>
    <w:p w14:paraId="604ED12A" w14:textId="77777777" w:rsidR="00E568D7" w:rsidRPr="00B65568" w:rsidRDefault="00E568D7" w:rsidP="00B65568">
      <w:pPr>
        <w:widowControl/>
        <w:wordWrap/>
        <w:autoSpaceDE/>
        <w:autoSpaceDN/>
        <w:rPr>
          <w:rFonts w:ascii="Palatino Linotype" w:hAnsi="Palatino Linotype" w:cs="Times New Roman"/>
          <w:b/>
          <w:bCs/>
          <w:i/>
          <w:iCs/>
          <w:sz w:val="24"/>
          <w:szCs w:val="28"/>
          <w:shd w:val="clear" w:color="auto" w:fill="FFFFFF"/>
        </w:rPr>
      </w:pPr>
    </w:p>
    <w:p w14:paraId="25B2B430" w14:textId="77777777" w:rsidR="008B2BDA" w:rsidRDefault="008B2BDA">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51B4D00E" w14:textId="7FE8EC00" w:rsidR="00D25834" w:rsidRDefault="00E5526A" w:rsidP="00D25834">
      <w:pPr>
        <w:widowControl/>
        <w:wordWrap/>
        <w:autoSpaceDE/>
        <w:autoSpaceDN/>
        <w:rPr>
          <w:rFonts w:ascii="Palatino Linotype" w:eastAsia="굴림" w:hAnsi="Palatino Linotype" w:cs="Times New Roman"/>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Pr>
          <w:rFonts w:ascii="Palatino Linotype" w:eastAsia="굴림" w:hAnsi="Palatino Linotype" w:cs="Times New Roman"/>
          <w:b/>
          <w:bCs/>
          <w:color w:val="0A0A0A"/>
          <w:kern w:val="0"/>
          <w:sz w:val="24"/>
          <w:szCs w:val="24"/>
        </w:rPr>
        <w:t xml:space="preserve"> 4</w:t>
      </w:r>
    </w:p>
    <w:p w14:paraId="7A6589E1" w14:textId="61AE9D3D" w:rsidR="00255319" w:rsidRDefault="001F3DCA" w:rsidP="00D25834">
      <w:pPr>
        <w:widowControl/>
        <w:wordWrap/>
        <w:autoSpaceDE/>
        <w:autoSpaceDN/>
        <w:rPr>
          <w:rFonts w:ascii="Palatino Linotype" w:eastAsia="굴림" w:hAnsi="Palatino Linotype" w:cs="Times New Roman"/>
          <w:color w:val="0A0A0A"/>
          <w:kern w:val="0"/>
          <w:sz w:val="24"/>
          <w:szCs w:val="24"/>
        </w:rPr>
      </w:pPr>
      <w:r w:rsidRPr="001F3DCA">
        <w:rPr>
          <w:rFonts w:ascii="Palatino Linotype" w:eastAsia="굴림" w:hAnsi="Palatino Linotype" w:cs="Times New Roman"/>
          <w:color w:val="0A0A0A"/>
          <w:kern w:val="0"/>
          <w:sz w:val="24"/>
          <w:szCs w:val="24"/>
        </w:rPr>
        <w:t>225: I suppose it will be mentioned later what observations are used for the evaluation (presumably some that aren’t used for the assimilation…) but maybe that could be stated here as well? Ok, I see later in section 3.2 that they are evaluating against AQMS NO</w:t>
      </w:r>
      <w:r w:rsidRPr="00D93276">
        <w:rPr>
          <w:rFonts w:ascii="Palatino Linotype" w:eastAsia="굴림" w:hAnsi="Palatino Linotype" w:cs="Times New Roman"/>
          <w:color w:val="0A0A0A"/>
          <w:kern w:val="0"/>
          <w:sz w:val="24"/>
          <w:szCs w:val="24"/>
          <w:vertAlign w:val="subscript"/>
        </w:rPr>
        <w:t>2</w:t>
      </w:r>
      <w:r w:rsidRPr="001F3DCA">
        <w:rPr>
          <w:rFonts w:ascii="Palatino Linotype" w:eastAsia="굴림" w:hAnsi="Palatino Linotype" w:cs="Times New Roman"/>
          <w:color w:val="0A0A0A"/>
          <w:kern w:val="0"/>
          <w:sz w:val="24"/>
          <w:szCs w:val="24"/>
        </w:rPr>
        <w:t>, O</w:t>
      </w:r>
      <w:r w:rsidRPr="00D93276">
        <w:rPr>
          <w:rFonts w:ascii="Palatino Linotype" w:eastAsia="굴림" w:hAnsi="Palatino Linotype" w:cs="Times New Roman"/>
          <w:color w:val="0A0A0A"/>
          <w:kern w:val="0"/>
          <w:sz w:val="24"/>
          <w:szCs w:val="24"/>
          <w:vertAlign w:val="subscript"/>
        </w:rPr>
        <w:t>3</w:t>
      </w:r>
      <w:r w:rsidRPr="001F3DCA">
        <w:rPr>
          <w:rFonts w:ascii="Palatino Linotype" w:eastAsia="굴림" w:hAnsi="Palatino Linotype" w:cs="Times New Roman"/>
          <w:color w:val="0A0A0A"/>
          <w:kern w:val="0"/>
          <w:sz w:val="24"/>
          <w:szCs w:val="24"/>
        </w:rPr>
        <w:t>, and Pandora HCHO. But since AQMS NO</w:t>
      </w:r>
      <w:r w:rsidRPr="00D93276">
        <w:rPr>
          <w:rFonts w:ascii="Palatino Linotype" w:eastAsia="굴림" w:hAnsi="Palatino Linotype" w:cs="Times New Roman"/>
          <w:color w:val="0A0A0A"/>
          <w:kern w:val="0"/>
          <w:sz w:val="24"/>
          <w:szCs w:val="24"/>
          <w:vertAlign w:val="subscript"/>
        </w:rPr>
        <w:t>2</w:t>
      </w:r>
      <w:r w:rsidRPr="001F3DCA">
        <w:rPr>
          <w:rFonts w:ascii="Palatino Linotype" w:eastAsia="굴림" w:hAnsi="Palatino Linotype" w:cs="Times New Roman"/>
          <w:color w:val="0A0A0A"/>
          <w:kern w:val="0"/>
          <w:sz w:val="24"/>
          <w:szCs w:val="24"/>
        </w:rPr>
        <w:t xml:space="preserve"> and O</w:t>
      </w:r>
      <w:r w:rsidRPr="00D93276">
        <w:rPr>
          <w:rFonts w:ascii="Palatino Linotype" w:eastAsia="굴림" w:hAnsi="Palatino Linotype" w:cs="Times New Roman"/>
          <w:color w:val="0A0A0A"/>
          <w:kern w:val="0"/>
          <w:sz w:val="24"/>
          <w:szCs w:val="24"/>
          <w:vertAlign w:val="subscript"/>
        </w:rPr>
        <w:t>3</w:t>
      </w:r>
      <w:r w:rsidRPr="001F3DCA">
        <w:rPr>
          <w:rFonts w:ascii="Palatino Linotype" w:eastAsia="굴림" w:hAnsi="Palatino Linotype" w:cs="Times New Roman"/>
          <w:color w:val="0A0A0A"/>
          <w:kern w:val="0"/>
          <w:sz w:val="24"/>
          <w:szCs w:val="24"/>
        </w:rPr>
        <w:t xml:space="preserve"> were used in the assimilation, this is not a good test of the robustness of the posterior emissions. It does show that the modeling framework was correctly implemented, but one should evaluate against independent data. It seems that was only done with Pandora HCHO. </w:t>
      </w:r>
    </w:p>
    <w:p w14:paraId="10872895" w14:textId="77777777" w:rsidR="00255319" w:rsidRDefault="001F3DCA" w:rsidP="00D25834">
      <w:pPr>
        <w:widowControl/>
        <w:wordWrap/>
        <w:autoSpaceDE/>
        <w:autoSpaceDN/>
        <w:rPr>
          <w:rFonts w:ascii="Palatino Linotype" w:eastAsia="굴림" w:hAnsi="Palatino Linotype" w:cs="Times New Roman"/>
          <w:color w:val="0A0A0A"/>
          <w:kern w:val="0"/>
          <w:sz w:val="24"/>
          <w:szCs w:val="24"/>
        </w:rPr>
      </w:pPr>
      <w:r w:rsidRPr="001F3DCA">
        <w:rPr>
          <w:rFonts w:ascii="Palatino Linotype" w:eastAsia="굴림" w:hAnsi="Palatino Linotype" w:cs="Times New Roman"/>
          <w:color w:val="0A0A0A"/>
          <w:kern w:val="0"/>
          <w:sz w:val="24"/>
          <w:szCs w:val="24"/>
        </w:rPr>
        <w:t>Pandora would have NO</w:t>
      </w:r>
      <w:r w:rsidRPr="00D93276">
        <w:rPr>
          <w:rFonts w:ascii="Palatino Linotype" w:eastAsia="굴림" w:hAnsi="Palatino Linotype" w:cs="Times New Roman"/>
          <w:color w:val="0A0A0A"/>
          <w:kern w:val="0"/>
          <w:sz w:val="24"/>
          <w:szCs w:val="24"/>
          <w:vertAlign w:val="subscript"/>
        </w:rPr>
        <w:t>2</w:t>
      </w:r>
      <w:r w:rsidRPr="001F3DCA">
        <w:rPr>
          <w:rFonts w:ascii="Palatino Linotype" w:eastAsia="굴림" w:hAnsi="Palatino Linotype" w:cs="Times New Roman"/>
          <w:color w:val="0A0A0A"/>
          <w:kern w:val="0"/>
          <w:sz w:val="24"/>
          <w:szCs w:val="24"/>
        </w:rPr>
        <w:t xml:space="preserve"> as well — why was this not used? </w:t>
      </w:r>
    </w:p>
    <w:p w14:paraId="6AF08BAB" w14:textId="77777777" w:rsidR="00255319" w:rsidRDefault="001F3DCA" w:rsidP="00D25834">
      <w:pPr>
        <w:widowControl/>
        <w:wordWrap/>
        <w:autoSpaceDE/>
        <w:autoSpaceDN/>
        <w:rPr>
          <w:rFonts w:ascii="Palatino Linotype" w:eastAsia="굴림" w:hAnsi="Palatino Linotype" w:cs="Times New Roman"/>
          <w:color w:val="0A0A0A"/>
          <w:kern w:val="0"/>
          <w:sz w:val="24"/>
          <w:szCs w:val="24"/>
        </w:rPr>
      </w:pPr>
      <w:r w:rsidRPr="001F3DCA">
        <w:rPr>
          <w:rFonts w:ascii="Palatino Linotype" w:eastAsia="굴림" w:hAnsi="Palatino Linotype" w:cs="Times New Roman"/>
          <w:color w:val="0A0A0A"/>
          <w:kern w:val="0"/>
          <w:sz w:val="24"/>
          <w:szCs w:val="24"/>
        </w:rPr>
        <w:t>Also, are there not any other VOC measurements in Korea to compare against? What about from KORUS-AQ or other? The BVOC emission changes shown in Fig 5 seem very large — can these be evaluated against any isoprene observations?</w:t>
      </w:r>
    </w:p>
    <w:p w14:paraId="2C5B15AB" w14:textId="1863C50F" w:rsidR="001F3DCA" w:rsidRPr="00D25834" w:rsidRDefault="001F3DCA" w:rsidP="00D25834">
      <w:pPr>
        <w:widowControl/>
        <w:wordWrap/>
        <w:autoSpaceDE/>
        <w:autoSpaceDN/>
        <w:rPr>
          <w:rFonts w:ascii="Palatino Linotype" w:eastAsia="굴림" w:hAnsi="Palatino Linotype" w:cs="Times New Roman"/>
          <w:color w:val="0A0A0A"/>
          <w:kern w:val="0"/>
          <w:sz w:val="24"/>
          <w:szCs w:val="24"/>
        </w:rPr>
      </w:pPr>
      <w:r w:rsidRPr="001F3DCA">
        <w:rPr>
          <w:rFonts w:ascii="Palatino Linotype" w:eastAsia="굴림" w:hAnsi="Palatino Linotype" w:cs="Times New Roman"/>
          <w:color w:val="0A0A0A"/>
          <w:kern w:val="0"/>
          <w:sz w:val="24"/>
          <w:szCs w:val="24"/>
        </w:rPr>
        <w:t xml:space="preserve">From </w:t>
      </w:r>
      <w:proofErr w:type="spellStart"/>
      <w:r w:rsidRPr="001F3DCA">
        <w:rPr>
          <w:rFonts w:ascii="Palatino Linotype" w:eastAsia="굴림" w:hAnsi="Palatino Linotype" w:cs="Times New Roman"/>
          <w:color w:val="0A0A0A"/>
          <w:kern w:val="0"/>
          <w:sz w:val="24"/>
          <w:szCs w:val="24"/>
        </w:rPr>
        <w:t>CrIS</w:t>
      </w:r>
      <w:proofErr w:type="spellEnd"/>
      <w:r w:rsidRPr="001F3DCA">
        <w:rPr>
          <w:rFonts w:ascii="Palatino Linotype" w:eastAsia="굴림" w:hAnsi="Palatino Linotype" w:cs="Times New Roman"/>
          <w:color w:val="0A0A0A"/>
          <w:kern w:val="0"/>
          <w:sz w:val="24"/>
          <w:szCs w:val="24"/>
        </w:rPr>
        <w:t>? In Choi et al. (2025), Fig 10, it was found that HCHO assimilation led to very high isoprene concentrations compared to KORUS-AQ aircraft observations; however, assimilation of isoprene did not lead to these large over-estimates, nor did joint isoprene-HCHO inversions.</w:t>
      </w:r>
      <w:r w:rsidR="00563341">
        <w:rPr>
          <w:rFonts w:ascii="Palatino Linotype" w:eastAsia="굴림" w:hAnsi="Palatino Linotype" w:cs="Times New Roman"/>
          <w:color w:val="0A0A0A"/>
          <w:kern w:val="0"/>
          <w:sz w:val="24"/>
          <w:szCs w:val="24"/>
        </w:rPr>
        <w:t xml:space="preserve"> </w:t>
      </w:r>
      <w:r w:rsidRPr="001F3DCA">
        <w:rPr>
          <w:rFonts w:ascii="Palatino Linotype" w:eastAsia="굴림" w:hAnsi="Palatino Linotype" w:cs="Times New Roman"/>
          <w:color w:val="0A0A0A"/>
          <w:kern w:val="0"/>
          <w:sz w:val="24"/>
          <w:szCs w:val="24"/>
        </w:rPr>
        <w:t>I thus am concerned that that the large BVOC emissions found here might be compensating for a different issue in the model.</w:t>
      </w:r>
    </w:p>
    <w:p w14:paraId="383E519D" w14:textId="77777777" w:rsidR="00E5526A" w:rsidRDefault="00E5526A" w:rsidP="00D25834">
      <w:pPr>
        <w:widowControl/>
        <w:wordWrap/>
        <w:autoSpaceDE/>
        <w:autoSpaceDN/>
        <w:rPr>
          <w:rFonts w:ascii="Palatino Linotype" w:eastAsia="굴림" w:hAnsi="Palatino Linotype" w:cs="Times New Roman"/>
          <w:color w:val="0A0A0A"/>
          <w:kern w:val="0"/>
          <w:sz w:val="24"/>
          <w:szCs w:val="24"/>
        </w:rPr>
      </w:pPr>
    </w:p>
    <w:p w14:paraId="0245C207" w14:textId="0909FBC6" w:rsidR="005B2C65" w:rsidRPr="00F5281F" w:rsidRDefault="001F3DCA" w:rsidP="005B2C65">
      <w:pPr>
        <w:widowControl/>
        <w:wordWrap/>
        <w:autoSpaceDE/>
        <w:autoSpaceDN/>
        <w:rPr>
          <w:rFonts w:ascii="Palatino Linotype" w:hAnsi="Palatino Linotype" w:cs="Times New Roman"/>
          <w:b/>
          <w:bCs/>
          <w:sz w:val="24"/>
          <w:szCs w:val="24"/>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Pr>
          <w:rFonts w:ascii="Palatino Linotype" w:hAnsi="Palatino Linotype" w:cs="Times New Roman"/>
          <w:sz w:val="24"/>
          <w:szCs w:val="28"/>
          <w:shd w:val="clear" w:color="auto" w:fill="FFFFFF"/>
        </w:rPr>
        <w:t xml:space="preserve"> </w:t>
      </w:r>
      <w:r w:rsidR="00BF408C" w:rsidRPr="004728B7">
        <w:rPr>
          <w:rFonts w:ascii="Palatino Linotype" w:hAnsi="Palatino Linotype" w:cs="Times New Roman"/>
          <w:b/>
          <w:bCs/>
          <w:sz w:val="24"/>
          <w:szCs w:val="28"/>
          <w:shd w:val="clear" w:color="auto" w:fill="FFFFFF"/>
        </w:rPr>
        <w:t>We thank the reviewer for this important comment.</w:t>
      </w:r>
      <w:r w:rsidR="006C3496">
        <w:rPr>
          <w:rFonts w:ascii="Palatino Linotype" w:hAnsi="Palatino Linotype" w:cs="Times New Roman"/>
          <w:b/>
          <w:bCs/>
          <w:sz w:val="24"/>
          <w:szCs w:val="28"/>
          <w:shd w:val="clear" w:color="auto" w:fill="FFFFFF"/>
        </w:rPr>
        <w:t xml:space="preserve"> </w:t>
      </w:r>
      <w:r w:rsidR="005B2C65" w:rsidRPr="00F5281F">
        <w:rPr>
          <w:rFonts w:ascii="Palatino Linotype" w:hAnsi="Palatino Linotype" w:cs="Times New Roman"/>
          <w:b/>
          <w:bCs/>
          <w:sz w:val="24"/>
          <w:szCs w:val="24"/>
          <w:shd w:val="clear" w:color="auto" w:fill="FFFFFF"/>
        </w:rPr>
        <w:t xml:space="preserve">The key revisions are as follows. </w:t>
      </w:r>
    </w:p>
    <w:p w14:paraId="7F79711D" w14:textId="77777777" w:rsidR="00171214" w:rsidRDefault="005B2C65" w:rsidP="00307AC7">
      <w:pPr>
        <w:widowControl/>
        <w:wordWrap/>
        <w:autoSpaceDE/>
        <w:autoSpaceDN/>
        <w:spacing w:line="22" w:lineRule="atLeast"/>
        <w:rPr>
          <w:rFonts w:ascii="Palatino Linotype" w:hAnsi="Palatino Linotype" w:cs="Times New Roman"/>
          <w:b/>
          <w:bCs/>
          <w:sz w:val="24"/>
          <w:szCs w:val="24"/>
          <w:shd w:val="clear" w:color="auto" w:fill="FFFFFF"/>
        </w:rPr>
      </w:pPr>
      <w:r w:rsidRPr="00F5281F">
        <w:rPr>
          <w:rFonts w:ascii="Palatino Linotype" w:hAnsi="Palatino Linotype" w:cs="Times New Roman"/>
          <w:b/>
          <w:bCs/>
          <w:sz w:val="24"/>
          <w:szCs w:val="24"/>
          <w:shd w:val="clear" w:color="auto" w:fill="FFFFFF"/>
        </w:rPr>
        <w:br/>
      </w:r>
      <w:r w:rsidR="00171214" w:rsidRPr="00171214">
        <w:rPr>
          <w:rFonts w:ascii="Palatino Linotype" w:hAnsi="Palatino Linotype" w:cs="Times New Roman"/>
          <w:b/>
          <w:bCs/>
          <w:sz w:val="24"/>
          <w:szCs w:val="24"/>
          <w:shd w:val="clear" w:color="auto" w:fill="FFFFFF"/>
        </w:rPr>
        <w:t>(1) Independent validation using withheld AQMS sites</w:t>
      </w:r>
    </w:p>
    <w:p w14:paraId="51B5229A" w14:textId="7DB0B76B" w:rsidR="001F3DCA" w:rsidRDefault="00BF408C" w:rsidP="00307AC7">
      <w:pPr>
        <w:widowControl/>
        <w:wordWrap/>
        <w:autoSpaceDE/>
        <w:autoSpaceDN/>
        <w:spacing w:line="22" w:lineRule="atLeast"/>
        <w:rPr>
          <w:rFonts w:ascii="Palatino Linotype" w:hAnsi="Palatino Linotype" w:cs="Times New Roman"/>
          <w:b/>
          <w:bCs/>
          <w:sz w:val="24"/>
          <w:szCs w:val="28"/>
          <w:shd w:val="clear" w:color="auto" w:fill="FFFFFF"/>
        </w:rPr>
      </w:pPr>
      <w:r w:rsidRPr="004728B7">
        <w:rPr>
          <w:rFonts w:ascii="Palatino Linotype" w:hAnsi="Palatino Linotype" w:cs="Times New Roman"/>
          <w:b/>
          <w:bCs/>
          <w:sz w:val="24"/>
          <w:szCs w:val="28"/>
          <w:shd w:val="clear" w:color="auto" w:fill="FFFFFF"/>
        </w:rPr>
        <w:t>We agree that evaluating posterior simulations only against the same AQMS observations used in the inversion does not provide a fully independent assessment of the posterior emissions. To address this concern, we conducted an additional validation experiment using a data-splitting approach</w:t>
      </w:r>
      <w:r w:rsidRPr="004A1238">
        <w:rPr>
          <w:rFonts w:ascii="Palatino Linotype" w:hAnsi="Palatino Linotype" w:cs="Times New Roman"/>
          <w:b/>
          <w:bCs/>
          <w:sz w:val="24"/>
          <w:szCs w:val="28"/>
          <w:shd w:val="clear" w:color="auto" w:fill="FFFFFF"/>
        </w:rPr>
        <w:t>, as described in Section 2.</w:t>
      </w:r>
      <w:r w:rsidR="00A81B5B">
        <w:rPr>
          <w:rFonts w:ascii="Palatino Linotype" w:hAnsi="Palatino Linotype" w:cs="Times New Roman"/>
          <w:b/>
          <w:bCs/>
          <w:sz w:val="24"/>
          <w:szCs w:val="28"/>
          <w:shd w:val="clear" w:color="auto" w:fill="FFFFFF"/>
        </w:rPr>
        <w:t>2</w:t>
      </w:r>
      <w:r w:rsidRPr="004A1238">
        <w:rPr>
          <w:rFonts w:ascii="Palatino Linotype" w:hAnsi="Palatino Linotype" w:cs="Times New Roman"/>
          <w:b/>
          <w:bCs/>
          <w:sz w:val="24"/>
          <w:szCs w:val="28"/>
          <w:shd w:val="clear" w:color="auto" w:fill="FFFFFF"/>
        </w:rPr>
        <w:t>.1 of the revised manuscript.</w:t>
      </w:r>
      <w:r w:rsidRPr="004728B7">
        <w:rPr>
          <w:rFonts w:ascii="Palatino Linotype" w:hAnsi="Palatino Linotype" w:cs="Times New Roman"/>
          <w:b/>
          <w:bCs/>
          <w:sz w:val="24"/>
          <w:szCs w:val="28"/>
          <w:shd w:val="clear" w:color="auto" w:fill="FFFFFF"/>
        </w:rPr>
        <w:t xml:space="preserve"> Among the 619 AQMS sites, 496 sites (80%) were randomly selected for the inversion, while the remaining 123 sites (20%) were withheld from the inversion and used exclusively for independent validation. The spatial distribution of the inversion and validation sites has been added as Fig. S2.</w:t>
      </w:r>
    </w:p>
    <w:p w14:paraId="2E8C04B8" w14:textId="77777777" w:rsidR="00162733" w:rsidRDefault="00162733" w:rsidP="00307AC7">
      <w:pPr>
        <w:widowControl/>
        <w:wordWrap/>
        <w:autoSpaceDE/>
        <w:autoSpaceDN/>
        <w:spacing w:line="22" w:lineRule="atLeast"/>
        <w:rPr>
          <w:rFonts w:ascii="Palatino Linotype" w:hAnsi="Palatino Linotype" w:cs="Times New Roman"/>
          <w:b/>
          <w:bCs/>
          <w:sz w:val="24"/>
          <w:szCs w:val="28"/>
          <w:shd w:val="clear" w:color="auto" w:fill="FFFFFF"/>
        </w:rPr>
      </w:pPr>
    </w:p>
    <w:p w14:paraId="3A0B20B1" w14:textId="77777777" w:rsidR="00A630A1" w:rsidRPr="00E21DE6" w:rsidRDefault="00A630A1" w:rsidP="00307AC7">
      <w:pPr>
        <w:wordWrap/>
        <w:spacing w:before="240" w:line="22" w:lineRule="atLeast"/>
        <w:rPr>
          <w:rFonts w:ascii="Palatino Linotype" w:hAnsi="Palatino Linotype"/>
        </w:rPr>
      </w:pPr>
      <w:r w:rsidRPr="00964E09">
        <w:rPr>
          <w:rFonts w:ascii="Palatino Linotype" w:hAnsi="Palatino Linotype" w:cs="Times New Roman"/>
          <w:i/>
          <w:color w:val="0A0A0A"/>
          <w:sz w:val="24"/>
          <w:szCs w:val="24"/>
          <w:shd w:val="clear" w:color="auto" w:fill="FEFEFE"/>
        </w:rPr>
        <w:t>&lt;Section 2.</w:t>
      </w:r>
      <w:r>
        <w:rPr>
          <w:rFonts w:ascii="Palatino Linotype" w:hAnsi="Palatino Linotype" w:cs="Times New Roman"/>
          <w:i/>
          <w:color w:val="0A0A0A"/>
          <w:sz w:val="24"/>
          <w:szCs w:val="24"/>
          <w:shd w:val="clear" w:color="auto" w:fill="FEFEFE"/>
        </w:rPr>
        <w:t>2</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1</w:t>
      </w:r>
      <w:r w:rsidRPr="00964E09">
        <w:rPr>
          <w:rFonts w:ascii="Palatino Linotype" w:hAnsi="Palatino Linotype" w:cs="Times New Roman"/>
          <w:i/>
          <w:color w:val="0A0A0A"/>
          <w:sz w:val="24"/>
          <w:szCs w:val="24"/>
          <w:shd w:val="clear" w:color="auto" w:fill="FEFEFE"/>
        </w:rPr>
        <w:t xml:space="preserve"> in the revised manuscript&gt;</w:t>
      </w:r>
    </w:p>
    <w:p w14:paraId="72733572" w14:textId="1B7D8CDC" w:rsidR="00A630A1" w:rsidRPr="007F0010" w:rsidRDefault="00A630A1" w:rsidP="00C308DB">
      <w:pPr>
        <w:widowControl/>
        <w:wordWrap/>
        <w:autoSpaceDE/>
        <w:autoSpaceDN/>
        <w:spacing w:line="22" w:lineRule="atLeast"/>
        <w:rPr>
          <w:rFonts w:ascii="Palatino Linotype" w:eastAsia="굴림" w:hAnsi="Palatino Linotype" w:cs="Times New Roman"/>
          <w:i/>
          <w:iCs/>
          <w:color w:val="0A0A0A"/>
          <w:kern w:val="0"/>
          <w:sz w:val="24"/>
          <w:szCs w:val="24"/>
        </w:rPr>
      </w:pPr>
      <w:r w:rsidRPr="00197F0E">
        <w:rPr>
          <w:rFonts w:ascii="Palatino Linotype" w:eastAsia="굴림" w:hAnsi="Palatino Linotype" w:cs="Times New Roman"/>
          <w:i/>
          <w:iCs/>
          <w:color w:val="0A0A0A"/>
          <w:kern w:val="0"/>
          <w:sz w:val="24"/>
          <w:szCs w:val="24"/>
        </w:rPr>
        <w:t xml:space="preserve">To assess the robustness of the posterior emissions using independent observations, an additional validation experiment was conducted using a data-splitting approach, in which 496 sites (80%) were randomly selected for the inversion and the remaining 123 sites (20%) were </w:t>
      </w:r>
      <w:r w:rsidRPr="00197F0E">
        <w:rPr>
          <w:rFonts w:ascii="Palatino Linotype" w:eastAsia="굴림" w:hAnsi="Palatino Linotype" w:cs="Times New Roman"/>
          <w:i/>
          <w:iCs/>
          <w:color w:val="0A0A0A"/>
          <w:kern w:val="0"/>
          <w:sz w:val="24"/>
          <w:szCs w:val="24"/>
        </w:rPr>
        <w:lastRenderedPageBreak/>
        <w:t>reserved for independent validation. The spatial distribution of the selected sites is shown in Fig. S2.</w:t>
      </w:r>
      <w:r w:rsidR="00C308DB" w:rsidRPr="007F0010">
        <w:rPr>
          <w:rFonts w:ascii="Palatino Linotype" w:eastAsia="굴림" w:hAnsi="Palatino Linotype" w:cs="Times New Roman"/>
          <w:i/>
          <w:iCs/>
          <w:color w:val="0A0A0A"/>
          <w:kern w:val="0"/>
          <w:sz w:val="24"/>
          <w:szCs w:val="24"/>
        </w:rPr>
        <w:t xml:space="preserve"> </w:t>
      </w:r>
    </w:p>
    <w:p w14:paraId="48D6411D" w14:textId="77777777" w:rsidR="00A630A1" w:rsidRPr="00C87BD9" w:rsidRDefault="00A630A1" w:rsidP="00307AC7">
      <w:pPr>
        <w:wordWrap/>
        <w:spacing w:before="240" w:line="22" w:lineRule="atLeast"/>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2</w:t>
      </w:r>
      <w:r w:rsidRPr="00964E09">
        <w:rPr>
          <w:rFonts w:ascii="Palatino Linotype" w:hAnsi="Palatino Linotype" w:cs="Times New Roman"/>
          <w:i/>
          <w:color w:val="0A0A0A"/>
          <w:sz w:val="24"/>
          <w:szCs w:val="24"/>
          <w:shd w:val="clear" w:color="auto" w:fill="FEFEFE"/>
        </w:rPr>
        <w:t xml:space="preserve"> in the revised manuscript&gt;</w:t>
      </w:r>
    </w:p>
    <w:p w14:paraId="7B38495B" w14:textId="13D5D722" w:rsidR="00C951E9" w:rsidRDefault="00A630A1" w:rsidP="00307AC7">
      <w:pPr>
        <w:widowControl/>
        <w:wordWrap/>
        <w:autoSpaceDE/>
        <w:autoSpaceDN/>
        <w:spacing w:line="22" w:lineRule="atLeast"/>
        <w:rPr>
          <w:rFonts w:ascii="Palatino Linotype" w:eastAsia="굴림" w:hAnsi="Palatino Linotype" w:cs="Times New Roman"/>
          <w:i/>
          <w:iCs/>
          <w:color w:val="0A0A0A"/>
          <w:kern w:val="0"/>
          <w:sz w:val="24"/>
          <w:szCs w:val="24"/>
        </w:rPr>
      </w:pPr>
      <w:r w:rsidRPr="00C87BD9">
        <w:rPr>
          <w:rFonts w:ascii="Palatino Linotype" w:eastAsia="굴림" w:hAnsi="Palatino Linotype" w:cs="Times New Roman"/>
          <w:i/>
          <w:iCs/>
          <w:color w:val="0A0A0A"/>
          <w:kern w:val="0"/>
          <w:sz w:val="24"/>
          <w:szCs w:val="24"/>
        </w:rPr>
        <w:t>The IOA improved from 0.71 (Prior) to 0.80 (</w:t>
      </w:r>
      <w:proofErr w:type="spellStart"/>
      <w:r w:rsidRPr="00C87BD9">
        <w:rPr>
          <w:rFonts w:ascii="Palatino Linotype" w:eastAsia="굴림" w:hAnsi="Palatino Linotype" w:cs="Times New Roman"/>
          <w:i/>
          <w:iCs/>
          <w:color w:val="0A0A0A"/>
          <w:kern w:val="0"/>
          <w:sz w:val="24"/>
          <w:szCs w:val="24"/>
        </w:rPr>
        <w:t>Hybrid_NOx</w:t>
      </w:r>
      <w:proofErr w:type="spellEnd"/>
      <w:r w:rsidRPr="00C87BD9">
        <w:rPr>
          <w:rFonts w:ascii="Palatino Linotype" w:eastAsia="굴림" w:hAnsi="Palatino Linotype" w:cs="Times New Roman"/>
          <w:i/>
          <w:iCs/>
          <w:color w:val="0A0A0A"/>
          <w:kern w:val="0"/>
          <w:sz w:val="24"/>
          <w:szCs w:val="24"/>
        </w:rPr>
        <w:t>) and 0.83 (</w:t>
      </w:r>
      <w:proofErr w:type="spellStart"/>
      <w:r w:rsidRPr="00C87BD9">
        <w:rPr>
          <w:rFonts w:ascii="Palatino Linotype" w:eastAsia="굴림" w:hAnsi="Palatino Linotype" w:cs="Times New Roman"/>
          <w:i/>
          <w:iCs/>
          <w:color w:val="0A0A0A"/>
          <w:kern w:val="0"/>
          <w:sz w:val="24"/>
          <w:szCs w:val="24"/>
        </w:rPr>
        <w:t>Hybrid_NOx+VOC</w:t>
      </w:r>
      <w:proofErr w:type="spellEnd"/>
      <w:r w:rsidRPr="00C87BD9">
        <w:rPr>
          <w:rFonts w:ascii="Palatino Linotype" w:eastAsia="굴림" w:hAnsi="Palatino Linotype" w:cs="Times New Roman"/>
          <w:i/>
          <w:iCs/>
          <w:color w:val="0A0A0A"/>
          <w:kern w:val="0"/>
          <w:sz w:val="24"/>
          <w:szCs w:val="24"/>
        </w:rPr>
        <w:t>), indicating improved consistency with the AQMS observations used in the baseline inversion.</w:t>
      </w:r>
      <w:r w:rsidR="005509B3">
        <w:rPr>
          <w:rFonts w:ascii="Palatino Linotype" w:eastAsia="굴림" w:hAnsi="Palatino Linotype" w:cs="Times New Roman"/>
          <w:i/>
          <w:iCs/>
          <w:color w:val="0A0A0A"/>
          <w:kern w:val="0"/>
          <w:sz w:val="24"/>
          <w:szCs w:val="24"/>
        </w:rPr>
        <w:t xml:space="preserve"> […] </w:t>
      </w:r>
      <w:r w:rsidR="00C951E9" w:rsidRPr="00C951E9">
        <w:rPr>
          <w:rFonts w:ascii="Palatino Linotype" w:eastAsia="굴림" w:hAnsi="Palatino Linotype" w:cs="Times New Roman"/>
          <w:i/>
          <w:iCs/>
          <w:color w:val="0A0A0A"/>
          <w:kern w:val="0"/>
          <w:sz w:val="24"/>
          <w:szCs w:val="24"/>
        </w:rPr>
        <w:t>As described in Sect. 2.</w:t>
      </w:r>
      <w:r w:rsidR="005876F6">
        <w:rPr>
          <w:rFonts w:ascii="Palatino Linotype" w:eastAsia="굴림" w:hAnsi="Palatino Linotype" w:cs="Times New Roman"/>
          <w:i/>
          <w:iCs/>
          <w:color w:val="0A0A0A"/>
          <w:kern w:val="0"/>
          <w:sz w:val="24"/>
          <w:szCs w:val="24"/>
        </w:rPr>
        <w:t>2</w:t>
      </w:r>
      <w:r w:rsidR="00C951E9" w:rsidRPr="00C951E9">
        <w:rPr>
          <w:rFonts w:ascii="Palatino Linotype" w:eastAsia="굴림" w:hAnsi="Palatino Linotype" w:cs="Times New Roman"/>
          <w:i/>
          <w:iCs/>
          <w:color w:val="0A0A0A"/>
          <w:kern w:val="0"/>
          <w:sz w:val="24"/>
          <w:szCs w:val="24"/>
        </w:rPr>
        <w:t xml:space="preserve">.1, the independent validation experiment produced similar improvements at the withheld AQMS sites, indicating that the posterior emission corrections were not solely a result of fitting the assimilated observations. Compared with the Prior experiment, the </w:t>
      </w:r>
      <w:proofErr w:type="spellStart"/>
      <w:r w:rsidR="00C951E9" w:rsidRPr="00C951E9">
        <w:rPr>
          <w:rFonts w:ascii="Palatino Linotype" w:eastAsia="굴림" w:hAnsi="Palatino Linotype" w:cs="Times New Roman"/>
          <w:i/>
          <w:iCs/>
          <w:color w:val="0A0A0A"/>
          <w:kern w:val="0"/>
          <w:sz w:val="24"/>
          <w:szCs w:val="24"/>
        </w:rPr>
        <w:t>Hybrid_NOx+VOC</w:t>
      </w:r>
      <w:proofErr w:type="spellEnd"/>
      <w:r w:rsidR="00C951E9" w:rsidRPr="00C951E9">
        <w:rPr>
          <w:rFonts w:ascii="Palatino Linotype" w:eastAsia="굴림" w:hAnsi="Palatino Linotype" w:cs="Times New Roman"/>
          <w:i/>
          <w:iCs/>
          <w:color w:val="0A0A0A"/>
          <w:kern w:val="0"/>
          <w:sz w:val="24"/>
          <w:szCs w:val="24"/>
        </w:rPr>
        <w:t xml:space="preserve"> experiment reduced the RMSEs for both NO</w:t>
      </w:r>
      <w:r w:rsidR="00C951E9" w:rsidRPr="00C951E9">
        <w:rPr>
          <w:rFonts w:ascii="Palatino Linotype" w:eastAsia="굴림" w:hAnsi="Palatino Linotype" w:cs="Times New Roman"/>
          <w:i/>
          <w:iCs/>
          <w:color w:val="0A0A0A"/>
          <w:kern w:val="0"/>
          <w:sz w:val="24"/>
          <w:szCs w:val="24"/>
          <w:vertAlign w:val="subscript"/>
        </w:rPr>
        <w:t>2</w:t>
      </w:r>
      <w:r w:rsidR="00C951E9" w:rsidRPr="00C951E9">
        <w:rPr>
          <w:rFonts w:ascii="Palatino Linotype" w:eastAsia="굴림" w:hAnsi="Palatino Linotype" w:cs="Times New Roman"/>
          <w:i/>
          <w:iCs/>
          <w:color w:val="0A0A0A"/>
          <w:kern w:val="0"/>
          <w:sz w:val="24"/>
          <w:szCs w:val="24"/>
        </w:rPr>
        <w:t xml:space="preserve"> and O</w:t>
      </w:r>
      <w:r w:rsidR="00C951E9" w:rsidRPr="00C951E9">
        <w:rPr>
          <w:rFonts w:ascii="Palatino Linotype" w:eastAsia="굴림" w:hAnsi="Palatino Linotype" w:cs="Times New Roman"/>
          <w:i/>
          <w:iCs/>
          <w:color w:val="0A0A0A"/>
          <w:kern w:val="0"/>
          <w:sz w:val="24"/>
          <w:szCs w:val="24"/>
          <w:vertAlign w:val="subscript"/>
        </w:rPr>
        <w:t>3</w:t>
      </w:r>
      <w:r w:rsidR="00C951E9" w:rsidRPr="00C951E9">
        <w:rPr>
          <w:rFonts w:ascii="Palatino Linotype" w:eastAsia="굴림" w:hAnsi="Palatino Linotype" w:cs="Times New Roman"/>
          <w:i/>
          <w:iCs/>
          <w:color w:val="0A0A0A"/>
          <w:kern w:val="0"/>
          <w:sz w:val="24"/>
          <w:szCs w:val="24"/>
        </w:rPr>
        <w:t xml:space="preserve"> and improved their temporal agreement with independent AQMS observations (Table S6). These results support the robustness of the posterior emissions and indicate that the hybrid inversion framework improves O</w:t>
      </w:r>
      <w:r w:rsidR="00C951E9" w:rsidRPr="00C951E9">
        <w:rPr>
          <w:rFonts w:ascii="Palatino Linotype" w:eastAsia="굴림" w:hAnsi="Palatino Linotype" w:cs="Times New Roman"/>
          <w:i/>
          <w:iCs/>
          <w:color w:val="0A0A0A"/>
          <w:kern w:val="0"/>
          <w:sz w:val="24"/>
          <w:szCs w:val="24"/>
          <w:vertAlign w:val="subscript"/>
        </w:rPr>
        <w:t>3</w:t>
      </w:r>
      <w:r w:rsidR="00C951E9" w:rsidRPr="00C951E9">
        <w:rPr>
          <w:rFonts w:ascii="Palatino Linotype" w:eastAsia="굴림" w:hAnsi="Palatino Linotype" w:cs="Times New Roman"/>
          <w:i/>
          <w:iCs/>
          <w:color w:val="0A0A0A"/>
          <w:kern w:val="0"/>
          <w:sz w:val="24"/>
          <w:szCs w:val="24"/>
        </w:rPr>
        <w:t xml:space="preserve"> simulations beyond the stations directly used in the inversion.</w:t>
      </w:r>
    </w:p>
    <w:p w14:paraId="3A918932" w14:textId="77777777" w:rsidR="00C308DB" w:rsidRDefault="00C308DB" w:rsidP="00C308DB">
      <w:pPr>
        <w:widowControl/>
        <w:wordWrap/>
        <w:autoSpaceDE/>
        <w:autoSpaceDN/>
        <w:spacing w:line="22" w:lineRule="atLeast"/>
        <w:rPr>
          <w:rFonts w:ascii="Palatino Linotype" w:eastAsia="굴림" w:hAnsi="Palatino Linotype" w:cs="Times New Roman"/>
          <w:i/>
          <w:iCs/>
          <w:color w:val="0A0A0A"/>
          <w:kern w:val="0"/>
          <w:sz w:val="24"/>
          <w:szCs w:val="24"/>
        </w:rPr>
      </w:pPr>
    </w:p>
    <w:p w14:paraId="7C49229F" w14:textId="77777777" w:rsidR="00C308DB" w:rsidRDefault="00C308DB" w:rsidP="00C308DB">
      <w:pPr>
        <w:keepNext/>
        <w:spacing w:line="240" w:lineRule="auto"/>
        <w:jc w:val="center"/>
      </w:pPr>
      <w:r>
        <w:rPr>
          <w:rFonts w:eastAsia="맑은 고딕"/>
          <w:noProof/>
          <w:sz w:val="24"/>
        </w:rPr>
        <w:drawing>
          <wp:inline distT="0" distB="0" distL="0" distR="0" wp14:anchorId="6AB3D8EB" wp14:editId="10958FCF">
            <wp:extent cx="4715495" cy="4174434"/>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19174" cy="4177690"/>
                    </a:xfrm>
                    <a:prstGeom prst="rect">
                      <a:avLst/>
                    </a:prstGeom>
                    <a:noFill/>
                  </pic:spPr>
                </pic:pic>
              </a:graphicData>
            </a:graphic>
          </wp:inline>
        </w:drawing>
      </w:r>
    </w:p>
    <w:p w14:paraId="1CC21757" w14:textId="77777777" w:rsidR="00C308DB" w:rsidRPr="005509B3" w:rsidRDefault="00C308DB" w:rsidP="00C308DB">
      <w:pPr>
        <w:pStyle w:val="a4"/>
        <w:jc w:val="left"/>
        <w:rPr>
          <w:rFonts w:ascii="Times New Roman" w:hAnsi="Times New Roman"/>
        </w:rPr>
      </w:pPr>
      <w:r w:rsidRPr="005509B3">
        <w:rPr>
          <w:rFonts w:ascii="Times New Roman" w:hAnsi="Times New Roman"/>
        </w:rPr>
        <w:t>Figure S2: Spatial distribution of AQMS sites used in this study. A total of 619 sites were considered, among which 496 sites (80%) were randomly selected for the inversion (AQMS_INV; orange squares) and the remaining 123 sites (20%) were reserved for independent validation (AQMS_VERI; red circles).</w:t>
      </w:r>
    </w:p>
    <w:p w14:paraId="5D061588" w14:textId="77777777" w:rsidR="00C308DB" w:rsidRDefault="00C308DB" w:rsidP="00C308DB">
      <w:pPr>
        <w:widowControl/>
        <w:wordWrap/>
        <w:autoSpaceDE/>
        <w:autoSpaceDN/>
        <w:spacing w:line="22" w:lineRule="atLeast"/>
        <w:rPr>
          <w:rFonts w:ascii="Palatino Linotype" w:eastAsia="굴림" w:hAnsi="Palatino Linotype" w:cs="Times New Roman"/>
          <w:i/>
          <w:iCs/>
          <w:color w:val="0A0A0A"/>
          <w:kern w:val="0"/>
          <w:sz w:val="24"/>
          <w:szCs w:val="24"/>
        </w:rPr>
      </w:pPr>
    </w:p>
    <w:p w14:paraId="4D74F3B3" w14:textId="77777777" w:rsidR="00C308DB" w:rsidRPr="001F0384" w:rsidRDefault="00C308DB" w:rsidP="00C308DB">
      <w:pPr>
        <w:keepNext/>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1F0384">
        <w:rPr>
          <w:rFonts w:ascii="Times New Roman" w:eastAsia="Times New Roman" w:hAnsi="Times New Roman" w:cs="Times New Roman"/>
          <w:b/>
          <w:bCs/>
          <w:kern w:val="0"/>
          <w:sz w:val="18"/>
          <w:szCs w:val="18"/>
          <w:lang w:val="en-GB" w:eastAsia="de-DE"/>
        </w:rPr>
        <w:lastRenderedPageBreak/>
        <w:t>Table S6. Statistical evaluation of NO</w:t>
      </w:r>
      <w:r w:rsidRPr="001F0384">
        <w:rPr>
          <w:rFonts w:ascii="Times New Roman" w:eastAsia="Times New Roman" w:hAnsi="Times New Roman" w:cs="Times New Roman"/>
          <w:b/>
          <w:bCs/>
          <w:kern w:val="0"/>
          <w:sz w:val="18"/>
          <w:szCs w:val="18"/>
          <w:vertAlign w:val="subscript"/>
          <w:lang w:val="en-GB" w:eastAsia="de-DE"/>
        </w:rPr>
        <w:t>2</w:t>
      </w:r>
      <w:r w:rsidRPr="001F0384">
        <w:rPr>
          <w:rFonts w:ascii="Times New Roman" w:eastAsia="Times New Roman" w:hAnsi="Times New Roman" w:cs="Times New Roman"/>
          <w:b/>
          <w:bCs/>
          <w:kern w:val="0"/>
          <w:sz w:val="18"/>
          <w:szCs w:val="18"/>
          <w:lang w:val="en-GB" w:eastAsia="de-DE"/>
        </w:rPr>
        <w:t xml:space="preserve"> and O</w:t>
      </w:r>
      <w:r w:rsidRPr="001F0384">
        <w:rPr>
          <w:rFonts w:ascii="Times New Roman" w:eastAsia="Times New Roman" w:hAnsi="Times New Roman" w:cs="Times New Roman"/>
          <w:b/>
          <w:bCs/>
          <w:kern w:val="0"/>
          <w:sz w:val="18"/>
          <w:szCs w:val="18"/>
          <w:vertAlign w:val="subscript"/>
          <w:lang w:val="en-GB" w:eastAsia="de-DE"/>
        </w:rPr>
        <w:t>3</w:t>
      </w:r>
      <w:r w:rsidRPr="001F0384">
        <w:rPr>
          <w:rFonts w:ascii="Times New Roman" w:eastAsia="Times New Roman" w:hAnsi="Times New Roman" w:cs="Times New Roman"/>
          <w:b/>
          <w:bCs/>
          <w:kern w:val="0"/>
          <w:sz w:val="18"/>
          <w:szCs w:val="18"/>
          <w:lang w:val="en-GB" w:eastAsia="de-DE"/>
        </w:rPr>
        <w:t xml:space="preserve"> concentrations for the Prior and </w:t>
      </w:r>
      <w:proofErr w:type="spellStart"/>
      <w:r w:rsidRPr="001F0384">
        <w:rPr>
          <w:rFonts w:ascii="Times New Roman" w:eastAsia="Times New Roman" w:hAnsi="Times New Roman" w:cs="Times New Roman"/>
          <w:b/>
          <w:bCs/>
          <w:kern w:val="0"/>
          <w:sz w:val="18"/>
          <w:szCs w:val="18"/>
          <w:lang w:val="en-GB" w:eastAsia="de-DE"/>
        </w:rPr>
        <w:t>Hybrid_NOx+VOC</w:t>
      </w:r>
      <w:proofErr w:type="spellEnd"/>
      <w:r w:rsidRPr="001F0384">
        <w:rPr>
          <w:rFonts w:ascii="Times New Roman" w:eastAsia="Times New Roman" w:hAnsi="Times New Roman" w:cs="Times New Roman"/>
          <w:b/>
          <w:bCs/>
          <w:kern w:val="0"/>
          <w:sz w:val="18"/>
          <w:szCs w:val="18"/>
          <w:lang w:val="en-GB" w:eastAsia="de-DE"/>
        </w:rPr>
        <w:t xml:space="preserve"> experiments at the independent validation sites. The statistics were calculated over the 123 withheld AQMS_VERI sites shown in Fig. S2 and averaged over the entire study period. Observations were obtained from the AQMS network.</w:t>
      </w:r>
    </w:p>
    <w:tbl>
      <w:tblPr>
        <w:tblW w:w="8673" w:type="dxa"/>
        <w:jc w:val="center"/>
        <w:tblBorders>
          <w:top w:val="single" w:sz="4" w:space="0" w:color="auto"/>
          <w:bottom w:val="single" w:sz="4" w:space="0" w:color="auto"/>
        </w:tblBorders>
        <w:tblLayout w:type="fixed"/>
        <w:tblCellMar>
          <w:left w:w="99" w:type="dxa"/>
          <w:right w:w="99" w:type="dxa"/>
        </w:tblCellMar>
        <w:tblLook w:val="04A0" w:firstRow="1" w:lastRow="0" w:firstColumn="1" w:lastColumn="0" w:noHBand="0" w:noVBand="1"/>
      </w:tblPr>
      <w:tblGrid>
        <w:gridCol w:w="1679"/>
        <w:gridCol w:w="1820"/>
        <w:gridCol w:w="862"/>
        <w:gridCol w:w="862"/>
        <w:gridCol w:w="863"/>
        <w:gridCol w:w="862"/>
        <w:gridCol w:w="862"/>
        <w:gridCol w:w="863"/>
      </w:tblGrid>
      <w:tr w:rsidR="00C308DB" w:rsidRPr="001F0384" w14:paraId="67A5483D" w14:textId="77777777" w:rsidTr="002A038B">
        <w:trPr>
          <w:trHeight w:val="244"/>
          <w:jc w:val="center"/>
        </w:trPr>
        <w:tc>
          <w:tcPr>
            <w:tcW w:w="1679" w:type="dxa"/>
            <w:tcBorders>
              <w:top w:val="single" w:sz="4" w:space="0" w:color="auto"/>
              <w:bottom w:val="single" w:sz="4" w:space="0" w:color="auto"/>
              <w:right w:val="single" w:sz="4" w:space="0" w:color="auto"/>
            </w:tcBorders>
            <w:vAlign w:val="center"/>
          </w:tcPr>
          <w:p w14:paraId="1AB5E615" w14:textId="77777777" w:rsidR="00C308DB" w:rsidRPr="001F0384" w:rsidRDefault="00C308DB" w:rsidP="002A038B">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1F0384">
              <w:rPr>
                <w:rFonts w:ascii="Times New Roman" w:eastAsia="Times New Roman" w:hAnsi="Times New Roman" w:cs="Times New Roman"/>
                <w:kern w:val="0"/>
                <w:szCs w:val="20"/>
                <w:lang w:val="en-GB" w:eastAsia="de-DE"/>
              </w:rPr>
              <w:t>Species</w:t>
            </w:r>
          </w:p>
        </w:tc>
        <w:tc>
          <w:tcPr>
            <w:tcW w:w="1820" w:type="dxa"/>
            <w:tcBorders>
              <w:top w:val="single" w:sz="4" w:space="0" w:color="auto"/>
              <w:bottom w:val="single" w:sz="4" w:space="0" w:color="auto"/>
              <w:right w:val="single" w:sz="4" w:space="0" w:color="auto"/>
            </w:tcBorders>
            <w:shd w:val="clear" w:color="auto" w:fill="auto"/>
            <w:noWrap/>
            <w:vAlign w:val="center"/>
            <w:hideMark/>
          </w:tcPr>
          <w:p w14:paraId="4F48751E"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rPr>
            </w:pPr>
            <w:r w:rsidRPr="001F0384">
              <w:rPr>
                <w:rFonts w:ascii="Times New Roman" w:eastAsia="Times New Roman" w:hAnsi="Times New Roman" w:cs="Times New Roman"/>
                <w:kern w:val="0"/>
                <w:szCs w:val="20"/>
                <w:lang w:val="en-GB" w:eastAsia="de-DE"/>
              </w:rPr>
              <w:br w:type="page"/>
              <w:t>Experiment</w:t>
            </w:r>
          </w:p>
        </w:tc>
        <w:tc>
          <w:tcPr>
            <w:tcW w:w="862" w:type="dxa"/>
            <w:tcBorders>
              <w:top w:val="single" w:sz="4" w:space="0" w:color="auto"/>
              <w:left w:val="single" w:sz="4" w:space="0" w:color="auto"/>
              <w:bottom w:val="single" w:sz="4" w:space="0" w:color="auto"/>
            </w:tcBorders>
            <w:shd w:val="clear" w:color="auto" w:fill="auto"/>
            <w:noWrap/>
            <w:vAlign w:val="center"/>
            <w:hideMark/>
          </w:tcPr>
          <w:p w14:paraId="29C1D04C"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Obs.</w:t>
            </w:r>
          </w:p>
        </w:tc>
        <w:tc>
          <w:tcPr>
            <w:tcW w:w="862" w:type="dxa"/>
            <w:tcBorders>
              <w:top w:val="single" w:sz="4" w:space="0" w:color="auto"/>
              <w:bottom w:val="single" w:sz="4" w:space="0" w:color="auto"/>
            </w:tcBorders>
            <w:shd w:val="clear" w:color="auto" w:fill="auto"/>
            <w:noWrap/>
            <w:vAlign w:val="center"/>
            <w:hideMark/>
          </w:tcPr>
          <w:p w14:paraId="0B60C9A1"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CMAQ</w:t>
            </w:r>
          </w:p>
        </w:tc>
        <w:tc>
          <w:tcPr>
            <w:tcW w:w="863" w:type="dxa"/>
            <w:tcBorders>
              <w:top w:val="single" w:sz="4" w:space="0" w:color="auto"/>
              <w:bottom w:val="single" w:sz="4" w:space="0" w:color="auto"/>
            </w:tcBorders>
            <w:shd w:val="clear" w:color="auto" w:fill="auto"/>
            <w:noWrap/>
            <w:vAlign w:val="center"/>
            <w:hideMark/>
          </w:tcPr>
          <w:p w14:paraId="1B23ED0C"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MBE</w:t>
            </w:r>
          </w:p>
        </w:tc>
        <w:tc>
          <w:tcPr>
            <w:tcW w:w="862" w:type="dxa"/>
            <w:tcBorders>
              <w:top w:val="single" w:sz="4" w:space="0" w:color="auto"/>
              <w:bottom w:val="single" w:sz="4" w:space="0" w:color="auto"/>
            </w:tcBorders>
            <w:shd w:val="clear" w:color="auto" w:fill="auto"/>
            <w:noWrap/>
            <w:vAlign w:val="center"/>
            <w:hideMark/>
          </w:tcPr>
          <w:p w14:paraId="4C49AABE"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RMSE</w:t>
            </w:r>
          </w:p>
        </w:tc>
        <w:tc>
          <w:tcPr>
            <w:tcW w:w="862" w:type="dxa"/>
            <w:tcBorders>
              <w:top w:val="single" w:sz="4" w:space="0" w:color="auto"/>
              <w:bottom w:val="single" w:sz="4" w:space="0" w:color="auto"/>
            </w:tcBorders>
            <w:shd w:val="clear" w:color="auto" w:fill="auto"/>
            <w:noWrap/>
            <w:vAlign w:val="center"/>
            <w:hideMark/>
          </w:tcPr>
          <w:p w14:paraId="41281C81"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IOA</w:t>
            </w:r>
          </w:p>
        </w:tc>
        <w:tc>
          <w:tcPr>
            <w:tcW w:w="863" w:type="dxa"/>
            <w:tcBorders>
              <w:top w:val="single" w:sz="4" w:space="0" w:color="auto"/>
              <w:bottom w:val="single" w:sz="4" w:space="0" w:color="auto"/>
            </w:tcBorders>
            <w:shd w:val="clear" w:color="auto" w:fill="auto"/>
            <w:noWrap/>
            <w:vAlign w:val="center"/>
            <w:hideMark/>
          </w:tcPr>
          <w:p w14:paraId="3ADA66C4"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r</w:t>
            </w:r>
          </w:p>
        </w:tc>
      </w:tr>
      <w:tr w:rsidR="00C308DB" w:rsidRPr="001F0384" w14:paraId="409A6F72" w14:textId="77777777" w:rsidTr="002A038B">
        <w:trPr>
          <w:trHeight w:val="383"/>
          <w:jc w:val="center"/>
        </w:trPr>
        <w:tc>
          <w:tcPr>
            <w:tcW w:w="1679" w:type="dxa"/>
            <w:vMerge w:val="restart"/>
            <w:tcBorders>
              <w:top w:val="single" w:sz="4" w:space="0" w:color="auto"/>
              <w:right w:val="single" w:sz="4" w:space="0" w:color="auto"/>
            </w:tcBorders>
            <w:vAlign w:val="center"/>
          </w:tcPr>
          <w:p w14:paraId="4AD14099" w14:textId="77777777" w:rsidR="00C308DB" w:rsidRPr="001F0384" w:rsidRDefault="00C308DB" w:rsidP="002A038B">
            <w:pPr>
              <w:widowControl/>
              <w:wordWrap/>
              <w:autoSpaceDE/>
              <w:autoSpaceDN/>
              <w:spacing w:after="0" w:line="240" w:lineRule="auto"/>
              <w:jc w:val="center"/>
              <w:rPr>
                <w:rFonts w:ascii="Times New Roman" w:eastAsia="Times New Roman" w:hAnsi="Times New Roman" w:cs="Times New Roman"/>
                <w:kern w:val="0"/>
                <w:szCs w:val="20"/>
                <w:vertAlign w:val="subscript"/>
                <w:lang w:val="en-GB" w:eastAsia="de-DE"/>
              </w:rPr>
            </w:pPr>
            <w:r w:rsidRPr="001F0384">
              <w:rPr>
                <w:rFonts w:ascii="Times New Roman" w:eastAsia="Times New Roman" w:hAnsi="Times New Roman" w:cs="Times New Roman"/>
                <w:kern w:val="0"/>
                <w:szCs w:val="20"/>
                <w:lang w:val="en-GB" w:eastAsia="de-DE"/>
              </w:rPr>
              <w:t>NO</w:t>
            </w:r>
            <w:r w:rsidRPr="001F0384">
              <w:rPr>
                <w:rFonts w:ascii="Times New Roman" w:eastAsia="Times New Roman" w:hAnsi="Times New Roman" w:cs="Times New Roman"/>
                <w:kern w:val="0"/>
                <w:szCs w:val="20"/>
                <w:vertAlign w:val="subscript"/>
                <w:lang w:val="en-GB" w:eastAsia="de-DE"/>
              </w:rPr>
              <w:t>2</w:t>
            </w:r>
          </w:p>
          <w:p w14:paraId="58A811C3"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Times New Roman" w:hAnsi="Times New Roman" w:cs="Times New Roman"/>
                <w:kern w:val="0"/>
                <w:szCs w:val="20"/>
                <w:lang w:val="en-GB" w:eastAsia="de-DE"/>
              </w:rPr>
              <w:t>[p</w:t>
            </w:r>
            <w:r w:rsidRPr="001F0384">
              <w:rPr>
                <w:rFonts w:ascii="Times New Roman" w:eastAsia="맑은 고딕" w:hAnsi="Times New Roman" w:cs="Times New Roman"/>
                <w:color w:val="000000"/>
                <w:kern w:val="0"/>
                <w:szCs w:val="20"/>
                <w:lang w:val="en-GB" w:eastAsia="de-DE"/>
              </w:rPr>
              <w:t>pb]</w:t>
            </w:r>
          </w:p>
        </w:tc>
        <w:tc>
          <w:tcPr>
            <w:tcW w:w="1820" w:type="dxa"/>
            <w:tcBorders>
              <w:top w:val="single" w:sz="4" w:space="0" w:color="auto"/>
              <w:right w:val="single" w:sz="4" w:space="0" w:color="auto"/>
            </w:tcBorders>
            <w:shd w:val="clear" w:color="auto" w:fill="auto"/>
            <w:noWrap/>
            <w:vAlign w:val="center"/>
            <w:hideMark/>
          </w:tcPr>
          <w:p w14:paraId="42BE3A0F"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Prior</w:t>
            </w:r>
          </w:p>
        </w:tc>
        <w:tc>
          <w:tcPr>
            <w:tcW w:w="862" w:type="dxa"/>
            <w:vMerge w:val="restart"/>
            <w:tcBorders>
              <w:top w:val="single" w:sz="4" w:space="0" w:color="auto"/>
              <w:left w:val="nil"/>
              <w:bottom w:val="nil"/>
              <w:right w:val="nil"/>
            </w:tcBorders>
            <w:shd w:val="clear" w:color="auto" w:fill="auto"/>
            <w:noWrap/>
            <w:vAlign w:val="center"/>
          </w:tcPr>
          <w:p w14:paraId="16C63196"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8.69</w:t>
            </w:r>
          </w:p>
        </w:tc>
        <w:tc>
          <w:tcPr>
            <w:tcW w:w="862" w:type="dxa"/>
            <w:tcBorders>
              <w:top w:val="nil"/>
              <w:left w:val="nil"/>
              <w:bottom w:val="nil"/>
              <w:right w:val="nil"/>
            </w:tcBorders>
            <w:shd w:val="clear" w:color="auto" w:fill="auto"/>
            <w:noWrap/>
            <w:vAlign w:val="center"/>
          </w:tcPr>
          <w:p w14:paraId="4C68FCB1"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9.53</w:t>
            </w:r>
          </w:p>
        </w:tc>
        <w:tc>
          <w:tcPr>
            <w:tcW w:w="863" w:type="dxa"/>
            <w:tcBorders>
              <w:top w:val="nil"/>
              <w:left w:val="nil"/>
              <w:bottom w:val="nil"/>
              <w:right w:val="nil"/>
            </w:tcBorders>
            <w:shd w:val="clear" w:color="auto" w:fill="auto"/>
            <w:noWrap/>
            <w:vAlign w:val="center"/>
          </w:tcPr>
          <w:p w14:paraId="72B2EACA"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0.84</w:t>
            </w:r>
          </w:p>
        </w:tc>
        <w:tc>
          <w:tcPr>
            <w:tcW w:w="862" w:type="dxa"/>
            <w:tcBorders>
              <w:top w:val="nil"/>
              <w:left w:val="nil"/>
              <w:bottom w:val="nil"/>
              <w:right w:val="nil"/>
            </w:tcBorders>
            <w:shd w:val="clear" w:color="auto" w:fill="auto"/>
            <w:noWrap/>
            <w:vAlign w:val="center"/>
          </w:tcPr>
          <w:p w14:paraId="54E63514"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11.50</w:t>
            </w:r>
          </w:p>
        </w:tc>
        <w:tc>
          <w:tcPr>
            <w:tcW w:w="862" w:type="dxa"/>
            <w:tcBorders>
              <w:top w:val="nil"/>
              <w:left w:val="nil"/>
              <w:bottom w:val="nil"/>
              <w:right w:val="nil"/>
            </w:tcBorders>
            <w:shd w:val="clear" w:color="auto" w:fill="auto"/>
            <w:noWrap/>
            <w:vAlign w:val="center"/>
          </w:tcPr>
          <w:p w14:paraId="1E8F171C"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0.58</w:t>
            </w:r>
          </w:p>
        </w:tc>
        <w:tc>
          <w:tcPr>
            <w:tcW w:w="863" w:type="dxa"/>
            <w:tcBorders>
              <w:top w:val="nil"/>
              <w:left w:val="nil"/>
              <w:bottom w:val="nil"/>
              <w:right w:val="nil"/>
            </w:tcBorders>
            <w:shd w:val="clear" w:color="auto" w:fill="auto"/>
            <w:noWrap/>
            <w:vAlign w:val="center"/>
          </w:tcPr>
          <w:p w14:paraId="727654A7"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0.44</w:t>
            </w:r>
          </w:p>
        </w:tc>
      </w:tr>
      <w:tr w:rsidR="00C308DB" w:rsidRPr="001F0384" w14:paraId="650335A2" w14:textId="77777777" w:rsidTr="002A038B">
        <w:trPr>
          <w:trHeight w:val="383"/>
          <w:jc w:val="center"/>
        </w:trPr>
        <w:tc>
          <w:tcPr>
            <w:tcW w:w="1679" w:type="dxa"/>
            <w:vMerge/>
            <w:tcBorders>
              <w:right w:val="single" w:sz="4" w:space="0" w:color="auto"/>
            </w:tcBorders>
            <w:vAlign w:val="center"/>
          </w:tcPr>
          <w:p w14:paraId="7FB24E17"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
        </w:tc>
        <w:tc>
          <w:tcPr>
            <w:tcW w:w="1820" w:type="dxa"/>
            <w:tcBorders>
              <w:right w:val="single" w:sz="4" w:space="0" w:color="auto"/>
            </w:tcBorders>
            <w:shd w:val="clear" w:color="auto" w:fill="auto"/>
            <w:noWrap/>
            <w:vAlign w:val="center"/>
            <w:hideMark/>
          </w:tcPr>
          <w:p w14:paraId="766AB4D9"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roofErr w:type="spellStart"/>
            <w:r w:rsidRPr="001F0384">
              <w:rPr>
                <w:rFonts w:ascii="Times New Roman" w:eastAsia="맑은 고딕" w:hAnsi="Times New Roman" w:cs="Times New Roman"/>
                <w:color w:val="000000"/>
                <w:kern w:val="0"/>
                <w:szCs w:val="20"/>
                <w:lang w:val="en-GB" w:eastAsia="de-DE"/>
              </w:rPr>
              <w:t>Hybrid_NOx+VOC</w:t>
            </w:r>
            <w:proofErr w:type="spellEnd"/>
          </w:p>
        </w:tc>
        <w:tc>
          <w:tcPr>
            <w:tcW w:w="862" w:type="dxa"/>
            <w:vMerge/>
            <w:tcBorders>
              <w:top w:val="nil"/>
              <w:left w:val="nil"/>
              <w:bottom w:val="nil"/>
              <w:right w:val="nil"/>
            </w:tcBorders>
            <w:shd w:val="clear" w:color="auto" w:fill="auto"/>
            <w:noWrap/>
            <w:vAlign w:val="center"/>
            <w:hideMark/>
          </w:tcPr>
          <w:p w14:paraId="76A8E9A1"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
        </w:tc>
        <w:tc>
          <w:tcPr>
            <w:tcW w:w="862" w:type="dxa"/>
            <w:tcBorders>
              <w:top w:val="nil"/>
              <w:left w:val="nil"/>
              <w:bottom w:val="single" w:sz="4" w:space="0" w:color="auto"/>
              <w:right w:val="nil"/>
            </w:tcBorders>
            <w:shd w:val="clear" w:color="auto" w:fill="auto"/>
            <w:noWrap/>
            <w:vAlign w:val="center"/>
          </w:tcPr>
          <w:p w14:paraId="4917CEFB"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6.58</w:t>
            </w:r>
          </w:p>
        </w:tc>
        <w:tc>
          <w:tcPr>
            <w:tcW w:w="863" w:type="dxa"/>
            <w:tcBorders>
              <w:top w:val="nil"/>
              <w:left w:val="nil"/>
              <w:bottom w:val="single" w:sz="4" w:space="0" w:color="auto"/>
              <w:right w:val="nil"/>
            </w:tcBorders>
            <w:shd w:val="clear" w:color="auto" w:fill="auto"/>
            <w:noWrap/>
            <w:vAlign w:val="center"/>
          </w:tcPr>
          <w:p w14:paraId="316C5903"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-2.11</w:t>
            </w:r>
          </w:p>
        </w:tc>
        <w:tc>
          <w:tcPr>
            <w:tcW w:w="862" w:type="dxa"/>
            <w:tcBorders>
              <w:top w:val="nil"/>
              <w:left w:val="nil"/>
              <w:bottom w:val="single" w:sz="4" w:space="0" w:color="auto"/>
              <w:right w:val="nil"/>
            </w:tcBorders>
            <w:shd w:val="clear" w:color="auto" w:fill="auto"/>
            <w:noWrap/>
            <w:vAlign w:val="center"/>
          </w:tcPr>
          <w:p w14:paraId="249F9C29"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7.33</w:t>
            </w:r>
          </w:p>
        </w:tc>
        <w:tc>
          <w:tcPr>
            <w:tcW w:w="862" w:type="dxa"/>
            <w:tcBorders>
              <w:top w:val="nil"/>
              <w:left w:val="nil"/>
              <w:bottom w:val="single" w:sz="4" w:space="0" w:color="auto"/>
              <w:right w:val="nil"/>
            </w:tcBorders>
            <w:shd w:val="clear" w:color="auto" w:fill="auto"/>
            <w:noWrap/>
            <w:vAlign w:val="center"/>
          </w:tcPr>
          <w:p w14:paraId="1A36A318"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0.67</w:t>
            </w:r>
          </w:p>
        </w:tc>
        <w:tc>
          <w:tcPr>
            <w:tcW w:w="863" w:type="dxa"/>
            <w:tcBorders>
              <w:top w:val="nil"/>
              <w:left w:val="nil"/>
              <w:bottom w:val="single" w:sz="4" w:space="0" w:color="auto"/>
              <w:right w:val="nil"/>
            </w:tcBorders>
            <w:shd w:val="clear" w:color="auto" w:fill="auto"/>
            <w:noWrap/>
            <w:vAlign w:val="center"/>
          </w:tcPr>
          <w:p w14:paraId="3D1B8D29"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0.48</w:t>
            </w:r>
          </w:p>
        </w:tc>
      </w:tr>
      <w:tr w:rsidR="00C308DB" w:rsidRPr="001F0384" w14:paraId="7C7198DD" w14:textId="77777777" w:rsidTr="002A038B">
        <w:trPr>
          <w:trHeight w:val="383"/>
          <w:jc w:val="center"/>
        </w:trPr>
        <w:tc>
          <w:tcPr>
            <w:tcW w:w="1679" w:type="dxa"/>
            <w:vMerge w:val="restart"/>
            <w:tcBorders>
              <w:top w:val="single" w:sz="4" w:space="0" w:color="auto"/>
              <w:right w:val="single" w:sz="4" w:space="0" w:color="auto"/>
            </w:tcBorders>
            <w:vAlign w:val="center"/>
          </w:tcPr>
          <w:p w14:paraId="472D7C97"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vertAlign w:val="subscript"/>
                <w:lang w:val="en-GB" w:eastAsia="de-DE"/>
              </w:rPr>
            </w:pPr>
            <w:r w:rsidRPr="001F0384">
              <w:rPr>
                <w:rFonts w:ascii="Times New Roman" w:eastAsia="맑은 고딕" w:hAnsi="Times New Roman" w:cs="Times New Roman"/>
                <w:color w:val="000000"/>
                <w:kern w:val="0"/>
                <w:szCs w:val="20"/>
                <w:lang w:val="en-GB" w:eastAsia="de-DE"/>
              </w:rPr>
              <w:t>O</w:t>
            </w:r>
            <w:r w:rsidRPr="001F0384">
              <w:rPr>
                <w:rFonts w:ascii="Times New Roman" w:eastAsia="맑은 고딕" w:hAnsi="Times New Roman" w:cs="Times New Roman"/>
                <w:color w:val="000000"/>
                <w:kern w:val="0"/>
                <w:szCs w:val="20"/>
                <w:vertAlign w:val="subscript"/>
                <w:lang w:val="en-GB" w:eastAsia="de-DE"/>
              </w:rPr>
              <w:t>3</w:t>
            </w:r>
          </w:p>
          <w:p w14:paraId="3711868C"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[ppb]</w:t>
            </w:r>
          </w:p>
        </w:tc>
        <w:tc>
          <w:tcPr>
            <w:tcW w:w="1820" w:type="dxa"/>
            <w:tcBorders>
              <w:top w:val="single" w:sz="4" w:space="0" w:color="auto"/>
              <w:right w:val="single" w:sz="4" w:space="0" w:color="auto"/>
            </w:tcBorders>
            <w:shd w:val="clear" w:color="auto" w:fill="auto"/>
            <w:noWrap/>
            <w:vAlign w:val="center"/>
            <w:hideMark/>
          </w:tcPr>
          <w:p w14:paraId="36636C98"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Prior</w:t>
            </w:r>
          </w:p>
        </w:tc>
        <w:tc>
          <w:tcPr>
            <w:tcW w:w="862" w:type="dxa"/>
            <w:vMerge w:val="restart"/>
            <w:tcBorders>
              <w:top w:val="single" w:sz="4" w:space="0" w:color="auto"/>
              <w:left w:val="single" w:sz="4" w:space="0" w:color="auto"/>
            </w:tcBorders>
            <w:shd w:val="clear" w:color="auto" w:fill="auto"/>
            <w:noWrap/>
            <w:vAlign w:val="center"/>
            <w:hideMark/>
          </w:tcPr>
          <w:p w14:paraId="1F49E4DA"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44.48</w:t>
            </w:r>
          </w:p>
        </w:tc>
        <w:tc>
          <w:tcPr>
            <w:tcW w:w="862" w:type="dxa"/>
            <w:tcBorders>
              <w:top w:val="single" w:sz="4" w:space="0" w:color="auto"/>
              <w:left w:val="nil"/>
              <w:bottom w:val="nil"/>
              <w:right w:val="nil"/>
            </w:tcBorders>
            <w:shd w:val="clear" w:color="auto" w:fill="auto"/>
            <w:noWrap/>
            <w:vAlign w:val="center"/>
            <w:hideMark/>
          </w:tcPr>
          <w:p w14:paraId="70DD4CAB"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43.54</w:t>
            </w:r>
          </w:p>
        </w:tc>
        <w:tc>
          <w:tcPr>
            <w:tcW w:w="863" w:type="dxa"/>
            <w:tcBorders>
              <w:top w:val="single" w:sz="4" w:space="0" w:color="auto"/>
              <w:left w:val="nil"/>
              <w:bottom w:val="nil"/>
              <w:right w:val="nil"/>
            </w:tcBorders>
            <w:shd w:val="clear" w:color="auto" w:fill="auto"/>
            <w:noWrap/>
            <w:vAlign w:val="center"/>
            <w:hideMark/>
          </w:tcPr>
          <w:p w14:paraId="74D33547"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-3.02</w:t>
            </w:r>
          </w:p>
        </w:tc>
        <w:tc>
          <w:tcPr>
            <w:tcW w:w="862" w:type="dxa"/>
            <w:tcBorders>
              <w:top w:val="single" w:sz="4" w:space="0" w:color="auto"/>
              <w:left w:val="nil"/>
              <w:bottom w:val="nil"/>
              <w:right w:val="nil"/>
            </w:tcBorders>
            <w:shd w:val="clear" w:color="auto" w:fill="auto"/>
            <w:noWrap/>
            <w:vAlign w:val="center"/>
            <w:hideMark/>
          </w:tcPr>
          <w:p w14:paraId="65AFDA0E"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16.60</w:t>
            </w:r>
          </w:p>
        </w:tc>
        <w:tc>
          <w:tcPr>
            <w:tcW w:w="862" w:type="dxa"/>
            <w:tcBorders>
              <w:top w:val="single" w:sz="4" w:space="0" w:color="auto"/>
              <w:left w:val="nil"/>
              <w:bottom w:val="nil"/>
              <w:right w:val="nil"/>
            </w:tcBorders>
            <w:shd w:val="clear" w:color="auto" w:fill="auto"/>
            <w:noWrap/>
            <w:vAlign w:val="center"/>
            <w:hideMark/>
          </w:tcPr>
          <w:p w14:paraId="264D2F44"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0.71</w:t>
            </w:r>
          </w:p>
        </w:tc>
        <w:tc>
          <w:tcPr>
            <w:tcW w:w="863" w:type="dxa"/>
            <w:tcBorders>
              <w:top w:val="single" w:sz="4" w:space="0" w:color="auto"/>
              <w:left w:val="nil"/>
              <w:bottom w:val="nil"/>
              <w:right w:val="nil"/>
            </w:tcBorders>
            <w:shd w:val="clear" w:color="auto" w:fill="auto"/>
            <w:noWrap/>
            <w:vAlign w:val="center"/>
            <w:hideMark/>
          </w:tcPr>
          <w:p w14:paraId="7A1B17EB"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0.53</w:t>
            </w:r>
          </w:p>
        </w:tc>
      </w:tr>
      <w:tr w:rsidR="00C308DB" w:rsidRPr="001F0384" w14:paraId="7DB6D91B" w14:textId="77777777" w:rsidTr="002A038B">
        <w:trPr>
          <w:trHeight w:val="383"/>
          <w:jc w:val="center"/>
        </w:trPr>
        <w:tc>
          <w:tcPr>
            <w:tcW w:w="1679" w:type="dxa"/>
            <w:vMerge/>
            <w:tcBorders>
              <w:right w:val="single" w:sz="4" w:space="0" w:color="auto"/>
            </w:tcBorders>
            <w:vAlign w:val="center"/>
          </w:tcPr>
          <w:p w14:paraId="2D02584A"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
        </w:tc>
        <w:tc>
          <w:tcPr>
            <w:tcW w:w="1820" w:type="dxa"/>
            <w:tcBorders>
              <w:right w:val="single" w:sz="4" w:space="0" w:color="auto"/>
            </w:tcBorders>
            <w:shd w:val="clear" w:color="auto" w:fill="auto"/>
            <w:noWrap/>
            <w:vAlign w:val="center"/>
          </w:tcPr>
          <w:p w14:paraId="4E01C80D"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roofErr w:type="spellStart"/>
            <w:r w:rsidRPr="001F0384">
              <w:rPr>
                <w:rFonts w:ascii="Times New Roman" w:eastAsia="맑은 고딕" w:hAnsi="Times New Roman" w:cs="Times New Roman"/>
                <w:color w:val="000000"/>
                <w:kern w:val="0"/>
                <w:szCs w:val="20"/>
                <w:lang w:val="en-GB" w:eastAsia="de-DE"/>
              </w:rPr>
              <w:t>Hybrid_NOx+VOC</w:t>
            </w:r>
            <w:proofErr w:type="spellEnd"/>
          </w:p>
        </w:tc>
        <w:tc>
          <w:tcPr>
            <w:tcW w:w="862" w:type="dxa"/>
            <w:vMerge/>
            <w:tcBorders>
              <w:left w:val="single" w:sz="4" w:space="0" w:color="auto"/>
            </w:tcBorders>
            <w:shd w:val="clear" w:color="auto" w:fill="auto"/>
            <w:noWrap/>
            <w:vAlign w:val="center"/>
            <w:hideMark/>
          </w:tcPr>
          <w:p w14:paraId="35648B44"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
        </w:tc>
        <w:tc>
          <w:tcPr>
            <w:tcW w:w="862" w:type="dxa"/>
            <w:tcBorders>
              <w:top w:val="nil"/>
              <w:left w:val="nil"/>
              <w:bottom w:val="single" w:sz="4" w:space="0" w:color="auto"/>
              <w:right w:val="nil"/>
            </w:tcBorders>
            <w:shd w:val="clear" w:color="auto" w:fill="auto"/>
            <w:noWrap/>
            <w:vAlign w:val="center"/>
            <w:hideMark/>
          </w:tcPr>
          <w:p w14:paraId="6D3F82CC"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47.42</w:t>
            </w:r>
          </w:p>
        </w:tc>
        <w:tc>
          <w:tcPr>
            <w:tcW w:w="863" w:type="dxa"/>
            <w:tcBorders>
              <w:top w:val="nil"/>
              <w:left w:val="nil"/>
              <w:bottom w:val="single" w:sz="4" w:space="0" w:color="auto"/>
              <w:right w:val="nil"/>
            </w:tcBorders>
            <w:shd w:val="clear" w:color="auto" w:fill="auto"/>
            <w:noWrap/>
            <w:vAlign w:val="center"/>
            <w:hideMark/>
          </w:tcPr>
          <w:p w14:paraId="3889B6CF"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0.86</w:t>
            </w:r>
          </w:p>
        </w:tc>
        <w:tc>
          <w:tcPr>
            <w:tcW w:w="862" w:type="dxa"/>
            <w:tcBorders>
              <w:top w:val="nil"/>
              <w:left w:val="nil"/>
              <w:bottom w:val="single" w:sz="4" w:space="0" w:color="auto"/>
              <w:right w:val="nil"/>
            </w:tcBorders>
            <w:shd w:val="clear" w:color="auto" w:fill="auto"/>
            <w:noWrap/>
            <w:vAlign w:val="center"/>
            <w:hideMark/>
          </w:tcPr>
          <w:p w14:paraId="1636EFDB"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13.65</w:t>
            </w:r>
          </w:p>
        </w:tc>
        <w:tc>
          <w:tcPr>
            <w:tcW w:w="862" w:type="dxa"/>
            <w:tcBorders>
              <w:top w:val="nil"/>
              <w:left w:val="nil"/>
              <w:bottom w:val="single" w:sz="4" w:space="0" w:color="auto"/>
              <w:right w:val="nil"/>
            </w:tcBorders>
            <w:shd w:val="clear" w:color="auto" w:fill="auto"/>
            <w:noWrap/>
            <w:vAlign w:val="center"/>
            <w:hideMark/>
          </w:tcPr>
          <w:p w14:paraId="549C5111"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0.77</w:t>
            </w:r>
          </w:p>
        </w:tc>
        <w:tc>
          <w:tcPr>
            <w:tcW w:w="863" w:type="dxa"/>
            <w:tcBorders>
              <w:top w:val="nil"/>
              <w:left w:val="nil"/>
              <w:bottom w:val="single" w:sz="4" w:space="0" w:color="auto"/>
              <w:right w:val="nil"/>
            </w:tcBorders>
            <w:shd w:val="clear" w:color="auto" w:fill="auto"/>
            <w:noWrap/>
            <w:vAlign w:val="center"/>
            <w:hideMark/>
          </w:tcPr>
          <w:p w14:paraId="0BDECEF9" w14:textId="77777777" w:rsidR="00C308DB" w:rsidRPr="001F0384" w:rsidRDefault="00C308DB" w:rsidP="002A038B">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0.64</w:t>
            </w:r>
          </w:p>
        </w:tc>
      </w:tr>
    </w:tbl>
    <w:p w14:paraId="2B8E75FD" w14:textId="77777777" w:rsidR="00A449BB" w:rsidRDefault="00A449BB" w:rsidP="00307AC7">
      <w:pPr>
        <w:jc w:val="left"/>
        <w:rPr>
          <w:sz w:val="24"/>
        </w:rPr>
      </w:pPr>
    </w:p>
    <w:p w14:paraId="3FD6D6C6" w14:textId="77777777" w:rsidR="005B7F56" w:rsidRDefault="005B7F56" w:rsidP="00307AC7">
      <w:pPr>
        <w:jc w:val="left"/>
        <w:rPr>
          <w:rFonts w:ascii="Palatino Linotype" w:hAnsi="Palatino Linotype"/>
          <w:b/>
          <w:bCs/>
          <w:sz w:val="24"/>
        </w:rPr>
      </w:pPr>
      <w:r w:rsidRPr="005B7F56">
        <w:rPr>
          <w:rFonts w:ascii="Palatino Linotype" w:hAnsi="Palatino Linotype"/>
          <w:b/>
          <w:bCs/>
          <w:sz w:val="24"/>
        </w:rPr>
        <w:t>(2) Additional evaluation using Pandora NO</w:t>
      </w:r>
      <w:r w:rsidRPr="005B7F56">
        <w:rPr>
          <w:rFonts w:ascii="Palatino Linotype" w:hAnsi="Palatino Linotype"/>
          <w:b/>
          <w:bCs/>
          <w:sz w:val="24"/>
          <w:vertAlign w:val="subscript"/>
        </w:rPr>
        <w:t>2</w:t>
      </w:r>
      <w:r w:rsidRPr="005B7F56">
        <w:rPr>
          <w:rFonts w:ascii="Palatino Linotype" w:hAnsi="Palatino Linotype"/>
          <w:b/>
          <w:bCs/>
          <w:sz w:val="24"/>
        </w:rPr>
        <w:t xml:space="preserve"> columns</w:t>
      </w:r>
    </w:p>
    <w:p w14:paraId="37818C1D" w14:textId="78C1DA0B" w:rsidR="00285593" w:rsidRPr="00285593" w:rsidRDefault="00285593" w:rsidP="00307AC7">
      <w:pPr>
        <w:jc w:val="left"/>
        <w:rPr>
          <w:rFonts w:ascii="Palatino Linotype" w:hAnsi="Palatino Linotype"/>
          <w:b/>
          <w:bCs/>
          <w:sz w:val="24"/>
        </w:rPr>
      </w:pPr>
      <w:r w:rsidRPr="00285593">
        <w:rPr>
          <w:rFonts w:ascii="Palatino Linotype" w:hAnsi="Palatino Linotype"/>
          <w:b/>
          <w:bCs/>
          <w:sz w:val="24"/>
        </w:rPr>
        <w:t>Following the reviewer’s suggestion, we additionally compared the model results with Pandora NO</w:t>
      </w:r>
      <w:r w:rsidRPr="00285593">
        <w:rPr>
          <w:rFonts w:ascii="Palatino Linotype" w:hAnsi="Palatino Linotype"/>
          <w:b/>
          <w:bCs/>
          <w:sz w:val="24"/>
          <w:vertAlign w:val="subscript"/>
        </w:rPr>
        <w:t>2</w:t>
      </w:r>
      <w:r w:rsidRPr="00285593">
        <w:rPr>
          <w:rFonts w:ascii="Palatino Linotype" w:hAnsi="Palatino Linotype"/>
          <w:b/>
          <w:bCs/>
          <w:sz w:val="24"/>
        </w:rPr>
        <w:t xml:space="preserve"> column observations. The </w:t>
      </w:r>
      <w:proofErr w:type="spellStart"/>
      <w:r w:rsidRPr="00285593">
        <w:rPr>
          <w:rFonts w:ascii="Palatino Linotype" w:hAnsi="Palatino Linotype"/>
          <w:b/>
          <w:bCs/>
          <w:sz w:val="24"/>
        </w:rPr>
        <w:t>Hybrid_NOx+VOC</w:t>
      </w:r>
      <w:proofErr w:type="spellEnd"/>
      <w:r w:rsidRPr="00285593">
        <w:rPr>
          <w:rFonts w:ascii="Palatino Linotype" w:hAnsi="Palatino Linotype"/>
          <w:b/>
          <w:bCs/>
          <w:sz w:val="24"/>
        </w:rPr>
        <w:t xml:space="preserve"> experiment showed a slight reduction in RMSE relative to the Prior experiment, but the MBE increased, and the overall improvement was limited.</w:t>
      </w:r>
    </w:p>
    <w:p w14:paraId="18AA8F15" w14:textId="19C7DF6F" w:rsidR="00BA49FB" w:rsidRDefault="00285593" w:rsidP="00307AC7">
      <w:pPr>
        <w:jc w:val="left"/>
        <w:rPr>
          <w:rFonts w:ascii="Palatino Linotype" w:hAnsi="Palatino Linotype"/>
          <w:b/>
          <w:bCs/>
          <w:sz w:val="24"/>
        </w:rPr>
      </w:pPr>
      <w:r w:rsidRPr="00285593">
        <w:rPr>
          <w:rFonts w:ascii="Palatino Linotype" w:hAnsi="Palatino Linotype"/>
          <w:b/>
          <w:bCs/>
          <w:sz w:val="24"/>
        </w:rPr>
        <w:t>The limited response in Pandora NO</w:t>
      </w:r>
      <w:r w:rsidRPr="00285593">
        <w:rPr>
          <w:rFonts w:ascii="Palatino Linotype" w:hAnsi="Palatino Linotype"/>
          <w:b/>
          <w:bCs/>
          <w:sz w:val="24"/>
          <w:vertAlign w:val="subscript"/>
        </w:rPr>
        <w:t>2</w:t>
      </w:r>
      <w:r w:rsidRPr="00285593">
        <w:rPr>
          <w:rFonts w:ascii="Palatino Linotype" w:hAnsi="Palatino Linotype"/>
          <w:b/>
          <w:bCs/>
          <w:sz w:val="24"/>
        </w:rPr>
        <w:t xml:space="preserve"> may reflect differences in representativeness and temporal sampling between Pandora column observations and the surface observations assimilated in the 4D-Var inversion. In particular, the NO</w:t>
      </w:r>
      <w:r w:rsidRPr="00285593">
        <w:rPr>
          <w:rFonts w:ascii="Palatino Linotype" w:hAnsi="Palatino Linotype"/>
          <w:b/>
          <w:bCs/>
          <w:sz w:val="24"/>
          <w:vertAlign w:val="subscript"/>
        </w:rPr>
        <w:t>x</w:t>
      </w:r>
      <w:r w:rsidRPr="00285593">
        <w:rPr>
          <w:rFonts w:ascii="Palatino Linotype" w:hAnsi="Palatino Linotype"/>
          <w:b/>
          <w:bCs/>
          <w:sz w:val="24"/>
        </w:rPr>
        <w:t xml:space="preserve"> emission adjustment in this study was constrained by both surface NO</w:t>
      </w:r>
      <w:r w:rsidRPr="00285593">
        <w:rPr>
          <w:rFonts w:ascii="Palatino Linotype" w:hAnsi="Palatino Linotype"/>
          <w:b/>
          <w:bCs/>
          <w:sz w:val="24"/>
          <w:vertAlign w:val="subscript"/>
        </w:rPr>
        <w:t>2</w:t>
      </w:r>
      <w:r w:rsidRPr="00285593">
        <w:rPr>
          <w:rFonts w:ascii="Palatino Linotype" w:hAnsi="Palatino Linotype"/>
          <w:b/>
          <w:bCs/>
          <w:sz w:val="24"/>
        </w:rPr>
        <w:t xml:space="preserve"> and O</w:t>
      </w:r>
      <w:r w:rsidRPr="00285593">
        <w:rPr>
          <w:rFonts w:ascii="Palatino Linotype" w:hAnsi="Palatino Linotype"/>
          <w:b/>
          <w:bCs/>
          <w:sz w:val="24"/>
          <w:vertAlign w:val="subscript"/>
        </w:rPr>
        <w:t>3</w:t>
      </w:r>
      <w:r w:rsidRPr="00285593">
        <w:rPr>
          <w:rFonts w:ascii="Palatino Linotype" w:hAnsi="Palatino Linotype"/>
          <w:b/>
          <w:bCs/>
          <w:sz w:val="24"/>
        </w:rPr>
        <w:t xml:space="preserve"> observations. </w:t>
      </w:r>
      <w:r w:rsidR="004275B8" w:rsidRPr="004275B8">
        <w:rPr>
          <w:rFonts w:ascii="Palatino Linotype" w:hAnsi="Palatino Linotype"/>
          <w:b/>
          <w:bCs/>
          <w:sz w:val="24"/>
        </w:rPr>
        <w:t>A substantial part of the NO</w:t>
      </w:r>
      <w:r w:rsidR="004275B8" w:rsidRPr="004275B8">
        <w:rPr>
          <w:rFonts w:ascii="Palatino Linotype" w:hAnsi="Palatino Linotype"/>
          <w:b/>
          <w:bCs/>
          <w:sz w:val="24"/>
          <w:vertAlign w:val="subscript"/>
        </w:rPr>
        <w:t>x</w:t>
      </w:r>
      <w:r w:rsidR="004275B8" w:rsidRPr="004275B8">
        <w:rPr>
          <w:rFonts w:ascii="Palatino Linotype" w:hAnsi="Palatino Linotype"/>
          <w:b/>
          <w:bCs/>
          <w:sz w:val="24"/>
        </w:rPr>
        <w:t xml:space="preserve"> correction was associated with reducing nighttime NO</w:t>
      </w:r>
      <w:r w:rsidR="004275B8" w:rsidRPr="004275B8">
        <w:rPr>
          <w:rFonts w:ascii="Palatino Linotype" w:hAnsi="Palatino Linotype"/>
          <w:b/>
          <w:bCs/>
          <w:sz w:val="24"/>
          <w:vertAlign w:val="subscript"/>
        </w:rPr>
        <w:t>2</w:t>
      </w:r>
      <w:r w:rsidR="004275B8" w:rsidRPr="004275B8">
        <w:rPr>
          <w:rFonts w:ascii="Palatino Linotype" w:hAnsi="Palatino Linotype"/>
          <w:b/>
          <w:bCs/>
          <w:sz w:val="24"/>
        </w:rPr>
        <w:t xml:space="preserve"> overestimation and weakening nighttime O</w:t>
      </w:r>
      <w:r w:rsidR="004275B8" w:rsidRPr="004275B8">
        <w:rPr>
          <w:rFonts w:ascii="Palatino Linotype" w:hAnsi="Palatino Linotype"/>
          <w:b/>
          <w:bCs/>
          <w:sz w:val="24"/>
          <w:vertAlign w:val="subscript"/>
        </w:rPr>
        <w:t>3</w:t>
      </w:r>
      <w:r w:rsidR="004275B8" w:rsidRPr="004275B8">
        <w:rPr>
          <w:rFonts w:ascii="Palatino Linotype" w:hAnsi="Palatino Linotype"/>
          <w:b/>
          <w:bCs/>
          <w:sz w:val="24"/>
        </w:rPr>
        <w:t xml:space="preserve"> titration by NO, whereas Pandora direct-sun NO</w:t>
      </w:r>
      <w:r w:rsidR="004275B8" w:rsidRPr="004275B8">
        <w:rPr>
          <w:rFonts w:ascii="Palatino Linotype" w:hAnsi="Palatino Linotype"/>
          <w:b/>
          <w:bCs/>
          <w:sz w:val="24"/>
          <w:vertAlign w:val="subscript"/>
        </w:rPr>
        <w:t>2</w:t>
      </w:r>
      <w:r w:rsidR="004275B8" w:rsidRPr="004275B8">
        <w:rPr>
          <w:rFonts w:ascii="Palatino Linotype" w:hAnsi="Palatino Linotype"/>
          <w:b/>
          <w:bCs/>
          <w:sz w:val="24"/>
        </w:rPr>
        <w:t xml:space="preserve"> observations mainly provide daytime column constraints.</w:t>
      </w:r>
      <w:r w:rsidRPr="00285593">
        <w:rPr>
          <w:rFonts w:ascii="Palatino Linotype" w:hAnsi="Palatino Linotype"/>
          <w:b/>
          <w:bCs/>
          <w:sz w:val="24"/>
        </w:rPr>
        <w:t xml:space="preserve"> This interpretation is also consistent with the AQMS NO</w:t>
      </w:r>
      <w:r w:rsidRPr="00285593">
        <w:rPr>
          <w:rFonts w:ascii="Palatino Linotype" w:hAnsi="Palatino Linotype"/>
          <w:b/>
          <w:bCs/>
          <w:sz w:val="24"/>
          <w:vertAlign w:val="subscript"/>
        </w:rPr>
        <w:t>2</w:t>
      </w:r>
      <w:r w:rsidRPr="00285593">
        <w:rPr>
          <w:rFonts w:ascii="Palatino Linotype" w:hAnsi="Palatino Linotype"/>
          <w:b/>
          <w:bCs/>
          <w:sz w:val="24"/>
        </w:rPr>
        <w:t xml:space="preserve"> comparison, which showed only minor changes in daytime NO</w:t>
      </w:r>
      <w:r w:rsidRPr="00285593">
        <w:rPr>
          <w:rFonts w:ascii="Palatino Linotype" w:hAnsi="Palatino Linotype"/>
          <w:b/>
          <w:bCs/>
          <w:sz w:val="24"/>
          <w:vertAlign w:val="subscript"/>
        </w:rPr>
        <w:t>2</w:t>
      </w:r>
      <w:r w:rsidRPr="00285593">
        <w:rPr>
          <w:rFonts w:ascii="Palatino Linotype" w:hAnsi="Palatino Linotype"/>
          <w:b/>
          <w:bCs/>
          <w:sz w:val="24"/>
        </w:rPr>
        <w:t xml:space="preserve"> concentrations after the inverse modeling. We have added this comparison and clarified its interpretation in the revised manuscript.</w:t>
      </w:r>
    </w:p>
    <w:p w14:paraId="5C437377" w14:textId="77777777" w:rsidR="00162733" w:rsidRDefault="00162733" w:rsidP="00307AC7">
      <w:pPr>
        <w:jc w:val="left"/>
        <w:rPr>
          <w:rFonts w:ascii="Palatino Linotype" w:hAnsi="Palatino Linotype"/>
          <w:b/>
          <w:bCs/>
          <w:sz w:val="24"/>
        </w:rPr>
      </w:pPr>
    </w:p>
    <w:p w14:paraId="09405EED" w14:textId="7AE8130D" w:rsidR="00ED4BBB" w:rsidRPr="00C87BD9" w:rsidRDefault="00ED4BBB" w:rsidP="00ED4BBB">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sidR="00712369">
        <w:rPr>
          <w:rFonts w:ascii="Palatino Linotype" w:hAnsi="Palatino Linotype" w:cs="Times New Roman"/>
          <w:i/>
          <w:color w:val="0A0A0A"/>
          <w:sz w:val="24"/>
          <w:szCs w:val="24"/>
          <w:shd w:val="clear" w:color="auto" w:fill="FEFEFE"/>
        </w:rPr>
        <w:t>2</w:t>
      </w:r>
      <w:r w:rsidRPr="00964E09">
        <w:rPr>
          <w:rFonts w:ascii="Palatino Linotype" w:hAnsi="Palatino Linotype" w:cs="Times New Roman"/>
          <w:i/>
          <w:color w:val="0A0A0A"/>
          <w:sz w:val="24"/>
          <w:szCs w:val="24"/>
          <w:shd w:val="clear" w:color="auto" w:fill="FEFEFE"/>
        </w:rPr>
        <w:t>.</w:t>
      </w:r>
      <w:r w:rsidR="00712369">
        <w:rPr>
          <w:rFonts w:ascii="Palatino Linotype" w:hAnsi="Palatino Linotype" w:cs="Times New Roman"/>
          <w:i/>
          <w:color w:val="0A0A0A"/>
          <w:sz w:val="24"/>
          <w:szCs w:val="24"/>
          <w:shd w:val="clear" w:color="auto" w:fill="FEFEFE"/>
        </w:rPr>
        <w:t>2.</w:t>
      </w:r>
      <w:r>
        <w:rPr>
          <w:rFonts w:ascii="Palatino Linotype" w:hAnsi="Palatino Linotype" w:cs="Times New Roman"/>
          <w:i/>
          <w:color w:val="0A0A0A"/>
          <w:sz w:val="24"/>
          <w:szCs w:val="24"/>
          <w:shd w:val="clear" w:color="auto" w:fill="FEFEFE"/>
        </w:rPr>
        <w:t>1</w:t>
      </w:r>
      <w:r w:rsidRPr="00964E09">
        <w:rPr>
          <w:rFonts w:ascii="Palatino Linotype" w:hAnsi="Palatino Linotype" w:cs="Times New Roman"/>
          <w:i/>
          <w:color w:val="0A0A0A"/>
          <w:sz w:val="24"/>
          <w:szCs w:val="24"/>
          <w:shd w:val="clear" w:color="auto" w:fill="FEFEFE"/>
        </w:rPr>
        <w:t xml:space="preserve"> in the revised manuscript&gt;</w:t>
      </w:r>
    </w:p>
    <w:p w14:paraId="7A5E09C4" w14:textId="2885636C" w:rsidR="00011E48" w:rsidRDefault="00712369" w:rsidP="00712369">
      <w:pPr>
        <w:jc w:val="left"/>
        <w:rPr>
          <w:rFonts w:ascii="Palatino Linotype" w:hAnsi="Palatino Linotype"/>
          <w:i/>
          <w:iCs/>
          <w:sz w:val="24"/>
        </w:rPr>
      </w:pPr>
      <w:r w:rsidRPr="00712369">
        <w:rPr>
          <w:rFonts w:ascii="Palatino Linotype" w:hAnsi="Palatino Linotype"/>
          <w:i/>
          <w:iCs/>
          <w:sz w:val="24"/>
        </w:rPr>
        <w:t>In addition, tropospheric NO</w:t>
      </w:r>
      <w:r w:rsidRPr="00712369">
        <w:rPr>
          <w:rFonts w:ascii="Palatino Linotype" w:hAnsi="Palatino Linotype"/>
          <w:i/>
          <w:iCs/>
          <w:sz w:val="24"/>
          <w:vertAlign w:val="subscript"/>
        </w:rPr>
        <w:t>2</w:t>
      </w:r>
      <w:r w:rsidRPr="00712369">
        <w:rPr>
          <w:rFonts w:ascii="Palatino Linotype" w:hAnsi="Palatino Linotype"/>
          <w:i/>
          <w:iCs/>
          <w:sz w:val="24"/>
        </w:rPr>
        <w:t xml:space="preserve"> and HCHO Vertical Column Densities (VCDs) were obtained from Pandora spectrometers at five sites operated by the </w:t>
      </w:r>
      <w:proofErr w:type="spellStart"/>
      <w:r w:rsidRPr="00712369">
        <w:rPr>
          <w:rFonts w:ascii="Palatino Linotype" w:hAnsi="Palatino Linotype"/>
          <w:i/>
          <w:iCs/>
          <w:sz w:val="24"/>
        </w:rPr>
        <w:t>Pandonia</w:t>
      </w:r>
      <w:proofErr w:type="spellEnd"/>
      <w:r w:rsidRPr="00712369">
        <w:rPr>
          <w:rFonts w:ascii="Palatino Linotype" w:hAnsi="Palatino Linotype"/>
          <w:i/>
          <w:iCs/>
          <w:sz w:val="24"/>
        </w:rPr>
        <w:t xml:space="preserve"> Global Network (PGN) to evaluate the model’s performance in simulating NO</w:t>
      </w:r>
      <w:r w:rsidRPr="00712369">
        <w:rPr>
          <w:rFonts w:ascii="Palatino Linotype" w:hAnsi="Palatino Linotype"/>
          <w:i/>
          <w:iCs/>
          <w:sz w:val="24"/>
          <w:vertAlign w:val="subscript"/>
        </w:rPr>
        <w:t>x</w:t>
      </w:r>
      <w:r w:rsidRPr="00712369">
        <w:rPr>
          <w:rFonts w:ascii="Palatino Linotype" w:hAnsi="Palatino Linotype"/>
          <w:i/>
          <w:iCs/>
          <w:sz w:val="24"/>
        </w:rPr>
        <w:t xml:space="preserve"> and VOC-related column concentrations. </w:t>
      </w:r>
      <w:r w:rsidR="00F92AEB" w:rsidRPr="00F92AEB">
        <w:rPr>
          <w:rFonts w:ascii="Palatino Linotype" w:hAnsi="Palatino Linotype"/>
          <w:i/>
          <w:iCs/>
          <w:sz w:val="24"/>
        </w:rPr>
        <w:t>To ensure data reliability,</w:t>
      </w:r>
      <w:r w:rsidR="00F92AEB">
        <w:rPr>
          <w:rFonts w:ascii="Palatino Linotype" w:hAnsi="Palatino Linotype"/>
          <w:i/>
          <w:iCs/>
          <w:sz w:val="24"/>
        </w:rPr>
        <w:t xml:space="preserve"> </w:t>
      </w:r>
      <w:r w:rsidRPr="00712369">
        <w:rPr>
          <w:rFonts w:ascii="Palatino Linotype" w:hAnsi="Palatino Linotype"/>
          <w:i/>
          <w:iCs/>
          <w:sz w:val="24"/>
        </w:rPr>
        <w:t>only Pandora NO</w:t>
      </w:r>
      <w:r w:rsidRPr="00712369">
        <w:rPr>
          <w:rFonts w:ascii="Palatino Linotype" w:hAnsi="Palatino Linotype"/>
          <w:i/>
          <w:iCs/>
          <w:sz w:val="24"/>
          <w:vertAlign w:val="subscript"/>
        </w:rPr>
        <w:t>2</w:t>
      </w:r>
      <w:r w:rsidRPr="00712369">
        <w:rPr>
          <w:rFonts w:ascii="Palatino Linotype" w:hAnsi="Palatino Linotype"/>
          <w:i/>
          <w:iCs/>
          <w:sz w:val="24"/>
        </w:rPr>
        <w:t xml:space="preserve"> retrievals with Level 2 (L2) data quality flags classified as “high” quality (flags 0 and 10) were used. For HCHO, L2 retrievals classified as “high” quality (flags 0 and 10) or “medium” quality (flags 1 and 11) were used in this study (Bae et al., 2025; Fu et al., 2025). The Pandora observations were hourly averaged for comparison with model results.</w:t>
      </w:r>
    </w:p>
    <w:p w14:paraId="5C63A6BC" w14:textId="3CBC7943" w:rsidR="006B4BC1" w:rsidRDefault="006B4BC1" w:rsidP="006B4BC1">
      <w:pPr>
        <w:wordWrap/>
        <w:spacing w:before="240" w:line="360" w:lineRule="auto"/>
        <w:rPr>
          <w:rFonts w:ascii="Palatino Linotype" w:hAnsi="Palatino Linotype" w:cs="Times New Roman"/>
          <w:i/>
          <w:color w:val="0A0A0A"/>
          <w:sz w:val="24"/>
          <w:szCs w:val="24"/>
          <w:shd w:val="clear" w:color="auto" w:fill="FEFEFE"/>
        </w:rPr>
      </w:pPr>
      <w:r w:rsidRPr="00964E09">
        <w:rPr>
          <w:rFonts w:ascii="Palatino Linotype" w:hAnsi="Palatino Linotype" w:cs="Times New Roman"/>
          <w:i/>
          <w:color w:val="0A0A0A"/>
          <w:sz w:val="24"/>
          <w:szCs w:val="24"/>
          <w:shd w:val="clear" w:color="auto" w:fill="FEFEFE"/>
        </w:rPr>
        <w:lastRenderedPageBreak/>
        <w:t xml:space="preserve">&lt;Section </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2</w:t>
      </w:r>
      <w:r w:rsidRPr="00964E09">
        <w:rPr>
          <w:rFonts w:ascii="Palatino Linotype" w:hAnsi="Palatino Linotype" w:cs="Times New Roman"/>
          <w:i/>
          <w:color w:val="0A0A0A"/>
          <w:sz w:val="24"/>
          <w:szCs w:val="24"/>
          <w:shd w:val="clear" w:color="auto" w:fill="FEFEFE"/>
        </w:rPr>
        <w:t xml:space="preserve"> in the revised manuscript&gt;</w:t>
      </w:r>
    </w:p>
    <w:p w14:paraId="38E71360" w14:textId="21D35F11" w:rsidR="00011E48" w:rsidRPr="008D6437" w:rsidRDefault="00410A7E" w:rsidP="008D6437">
      <w:pPr>
        <w:wordWrap/>
        <w:spacing w:before="240"/>
        <w:rPr>
          <w:rFonts w:ascii="Palatino Linotype" w:hAnsi="Palatino Linotype"/>
          <w:i/>
          <w:iCs/>
          <w:sz w:val="24"/>
          <w:szCs w:val="24"/>
        </w:rPr>
      </w:pPr>
      <w:r w:rsidRPr="00410A7E">
        <w:rPr>
          <w:rFonts w:ascii="Palatino Linotype" w:eastAsia="Times New Roman" w:hAnsi="Palatino Linotype" w:cs="Times New Roman"/>
          <w:i/>
          <w:iCs/>
          <w:kern w:val="0"/>
          <w:sz w:val="24"/>
          <w:szCs w:val="24"/>
          <w:lang w:val="en-GB" w:eastAsia="de-DE"/>
        </w:rPr>
        <w:t>As an additional column-based evaluation, the simulations were compared with Pandora NO</w:t>
      </w:r>
      <w:r w:rsidRPr="00410A7E">
        <w:rPr>
          <w:rFonts w:ascii="Palatino Linotype" w:eastAsia="Times New Roman" w:hAnsi="Palatino Linotype" w:cs="Times New Roman"/>
          <w:i/>
          <w:iCs/>
          <w:kern w:val="0"/>
          <w:sz w:val="24"/>
          <w:szCs w:val="24"/>
          <w:vertAlign w:val="subscript"/>
          <w:lang w:val="en-GB" w:eastAsia="de-DE"/>
        </w:rPr>
        <w:t>2</w:t>
      </w:r>
      <w:r w:rsidRPr="00410A7E">
        <w:rPr>
          <w:rFonts w:ascii="Palatino Linotype" w:eastAsia="Times New Roman" w:hAnsi="Palatino Linotype" w:cs="Times New Roman"/>
          <w:i/>
          <w:iCs/>
          <w:kern w:val="0"/>
          <w:sz w:val="24"/>
          <w:szCs w:val="24"/>
          <w:lang w:val="en-GB" w:eastAsia="de-DE"/>
        </w:rPr>
        <w:t xml:space="preserve"> VCD observations. The </w:t>
      </w:r>
      <w:proofErr w:type="spellStart"/>
      <w:r w:rsidRPr="00410A7E">
        <w:rPr>
          <w:rFonts w:ascii="Palatino Linotype" w:eastAsia="Times New Roman" w:hAnsi="Palatino Linotype" w:cs="Times New Roman"/>
          <w:i/>
          <w:iCs/>
          <w:kern w:val="0"/>
          <w:sz w:val="24"/>
          <w:szCs w:val="24"/>
          <w:lang w:val="en-GB" w:eastAsia="de-DE"/>
        </w:rPr>
        <w:t>Hybrid_NOx+VOC</w:t>
      </w:r>
      <w:proofErr w:type="spellEnd"/>
      <w:r w:rsidRPr="00410A7E">
        <w:rPr>
          <w:rFonts w:ascii="Palatino Linotype" w:eastAsia="Times New Roman" w:hAnsi="Palatino Linotype" w:cs="Times New Roman"/>
          <w:i/>
          <w:iCs/>
          <w:kern w:val="0"/>
          <w:sz w:val="24"/>
          <w:szCs w:val="24"/>
          <w:lang w:val="en-GB" w:eastAsia="de-DE"/>
        </w:rPr>
        <w:t xml:space="preserve"> experiment slightly reduced the RMSE relative to the Prior experiment, but the MBE increased and the IOA and correlation changed only marginally. This limited response is consistent with the comparison against daytime AQMS NO</w:t>
      </w:r>
      <w:r w:rsidRPr="00410A7E">
        <w:rPr>
          <w:rFonts w:ascii="Palatino Linotype" w:eastAsia="Times New Roman" w:hAnsi="Palatino Linotype" w:cs="Times New Roman"/>
          <w:i/>
          <w:iCs/>
          <w:kern w:val="0"/>
          <w:sz w:val="24"/>
          <w:szCs w:val="24"/>
          <w:vertAlign w:val="subscript"/>
          <w:lang w:val="en-GB" w:eastAsia="de-DE"/>
        </w:rPr>
        <w:t>2</w:t>
      </w:r>
      <w:r w:rsidRPr="00410A7E">
        <w:rPr>
          <w:rFonts w:ascii="Palatino Linotype" w:eastAsia="Times New Roman" w:hAnsi="Palatino Linotype" w:cs="Times New Roman"/>
          <w:i/>
          <w:iCs/>
          <w:kern w:val="0"/>
          <w:sz w:val="24"/>
          <w:szCs w:val="24"/>
          <w:lang w:val="en-GB" w:eastAsia="de-DE"/>
        </w:rPr>
        <w:t xml:space="preserve"> concentrations (Fig. 7), which showed only minor changes after the inverse </w:t>
      </w:r>
      <w:proofErr w:type="spellStart"/>
      <w:r w:rsidRPr="00410A7E">
        <w:rPr>
          <w:rFonts w:ascii="Palatino Linotype" w:eastAsia="Times New Roman" w:hAnsi="Palatino Linotype" w:cs="Times New Roman"/>
          <w:i/>
          <w:iCs/>
          <w:kern w:val="0"/>
          <w:sz w:val="24"/>
          <w:szCs w:val="24"/>
          <w:lang w:val="en-GB" w:eastAsia="de-DE"/>
        </w:rPr>
        <w:t>modeling</w:t>
      </w:r>
      <w:proofErr w:type="spellEnd"/>
      <w:r w:rsidRPr="00410A7E">
        <w:rPr>
          <w:rFonts w:ascii="Palatino Linotype" w:eastAsia="Times New Roman" w:hAnsi="Palatino Linotype" w:cs="Times New Roman"/>
          <w:i/>
          <w:iCs/>
          <w:kern w:val="0"/>
          <w:sz w:val="24"/>
          <w:szCs w:val="24"/>
          <w:lang w:val="en-GB" w:eastAsia="de-DE"/>
        </w:rPr>
        <w:t xml:space="preserve"> because the </w:t>
      </w:r>
      <w:r w:rsidR="00172DF5" w:rsidRPr="00172DF5">
        <w:rPr>
          <w:rFonts w:ascii="Palatino Linotype" w:eastAsia="Times New Roman" w:hAnsi="Palatino Linotype" w:cs="Times New Roman"/>
          <w:i/>
          <w:iCs/>
          <w:kern w:val="0"/>
          <w:sz w:val="24"/>
          <w:szCs w:val="24"/>
          <w:lang w:val="en-GB" w:eastAsia="de-DE"/>
        </w:rPr>
        <w:t>4D-Var inversion mainly adjusted NO</w:t>
      </w:r>
      <w:r w:rsidR="00172DF5" w:rsidRPr="00172DF5">
        <w:rPr>
          <w:rFonts w:ascii="Palatino Linotype" w:eastAsia="Times New Roman" w:hAnsi="Palatino Linotype" w:cs="Times New Roman"/>
          <w:i/>
          <w:iCs/>
          <w:kern w:val="0"/>
          <w:sz w:val="24"/>
          <w:szCs w:val="24"/>
          <w:vertAlign w:val="subscript"/>
          <w:lang w:val="en-GB" w:eastAsia="de-DE"/>
        </w:rPr>
        <w:t>x</w:t>
      </w:r>
      <w:r w:rsidR="00172DF5" w:rsidRPr="00172DF5">
        <w:rPr>
          <w:rFonts w:ascii="Palatino Linotype" w:eastAsia="Times New Roman" w:hAnsi="Palatino Linotype" w:cs="Times New Roman"/>
          <w:i/>
          <w:iCs/>
          <w:kern w:val="0"/>
          <w:sz w:val="24"/>
          <w:szCs w:val="24"/>
          <w:lang w:val="en-GB" w:eastAsia="de-DE"/>
        </w:rPr>
        <w:t xml:space="preserve"> emissions to correct </w:t>
      </w:r>
      <w:proofErr w:type="spellStart"/>
      <w:r w:rsidR="00172DF5" w:rsidRPr="00172DF5">
        <w:rPr>
          <w:rFonts w:ascii="Palatino Linotype" w:eastAsia="Times New Roman" w:hAnsi="Palatino Linotype" w:cs="Times New Roman"/>
          <w:i/>
          <w:iCs/>
          <w:kern w:val="0"/>
          <w:sz w:val="24"/>
          <w:szCs w:val="24"/>
          <w:lang w:val="en-GB" w:eastAsia="de-DE"/>
        </w:rPr>
        <w:t>nighttime</w:t>
      </w:r>
      <w:proofErr w:type="spellEnd"/>
      <w:r w:rsidR="00172DF5" w:rsidRPr="00172DF5">
        <w:rPr>
          <w:rFonts w:ascii="Palatino Linotype" w:eastAsia="Times New Roman" w:hAnsi="Palatino Linotype" w:cs="Times New Roman"/>
          <w:i/>
          <w:iCs/>
          <w:kern w:val="0"/>
          <w:sz w:val="24"/>
          <w:szCs w:val="24"/>
          <w:lang w:val="en-GB" w:eastAsia="de-DE"/>
        </w:rPr>
        <w:t xml:space="preserve"> NO</w:t>
      </w:r>
      <w:r w:rsidR="00172DF5" w:rsidRPr="00172DF5">
        <w:rPr>
          <w:rFonts w:ascii="Palatino Linotype" w:eastAsia="Times New Roman" w:hAnsi="Palatino Linotype" w:cs="Times New Roman"/>
          <w:i/>
          <w:iCs/>
          <w:kern w:val="0"/>
          <w:sz w:val="24"/>
          <w:szCs w:val="24"/>
          <w:vertAlign w:val="subscript"/>
          <w:lang w:val="en-GB" w:eastAsia="de-DE"/>
        </w:rPr>
        <w:t>2</w:t>
      </w:r>
      <w:r w:rsidR="00172DF5" w:rsidRPr="00172DF5">
        <w:rPr>
          <w:rFonts w:ascii="Palatino Linotype" w:eastAsia="Times New Roman" w:hAnsi="Palatino Linotype" w:cs="Times New Roman"/>
          <w:i/>
          <w:iCs/>
          <w:kern w:val="0"/>
          <w:sz w:val="24"/>
          <w:szCs w:val="24"/>
          <w:lang w:val="en-GB" w:eastAsia="de-DE"/>
        </w:rPr>
        <w:t xml:space="preserve"> overestimation rather than daytime NO</w:t>
      </w:r>
      <w:r w:rsidR="00172DF5" w:rsidRPr="00172DF5">
        <w:rPr>
          <w:rFonts w:ascii="Palatino Linotype" w:eastAsia="Times New Roman" w:hAnsi="Palatino Linotype" w:cs="Times New Roman"/>
          <w:i/>
          <w:iCs/>
          <w:kern w:val="0"/>
          <w:sz w:val="24"/>
          <w:szCs w:val="24"/>
          <w:vertAlign w:val="subscript"/>
          <w:lang w:val="en-GB" w:eastAsia="de-DE"/>
        </w:rPr>
        <w:t>2</w:t>
      </w:r>
      <w:r w:rsidR="00172DF5" w:rsidRPr="00172DF5">
        <w:rPr>
          <w:rFonts w:ascii="Palatino Linotype" w:eastAsia="Times New Roman" w:hAnsi="Palatino Linotype" w:cs="Times New Roman"/>
          <w:i/>
          <w:iCs/>
          <w:kern w:val="0"/>
          <w:sz w:val="24"/>
          <w:szCs w:val="24"/>
          <w:lang w:val="en-GB" w:eastAsia="de-DE"/>
        </w:rPr>
        <w:t xml:space="preserve"> levels.</w:t>
      </w:r>
    </w:p>
    <w:p w14:paraId="49340E53" w14:textId="77777777" w:rsidR="00011E48" w:rsidRPr="00011E48" w:rsidRDefault="00011E48" w:rsidP="00011E48">
      <w:pPr>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011E48">
        <w:rPr>
          <w:rFonts w:ascii="Times New Roman" w:eastAsia="Times New Roman" w:hAnsi="Times New Roman" w:cs="Times New Roman"/>
          <w:b/>
          <w:bCs/>
          <w:kern w:val="0"/>
          <w:sz w:val="18"/>
          <w:szCs w:val="18"/>
          <w:lang w:val="en-GB" w:eastAsia="de-DE"/>
        </w:rPr>
        <w:t xml:space="preserve">Table </w:t>
      </w:r>
      <w:r w:rsidRPr="00011E48">
        <w:rPr>
          <w:rFonts w:ascii="Times New Roman" w:eastAsia="Times New Roman" w:hAnsi="Times New Roman" w:cs="Times New Roman"/>
          <w:b/>
          <w:bCs/>
          <w:kern w:val="0"/>
          <w:sz w:val="18"/>
          <w:szCs w:val="18"/>
          <w:lang w:val="en-GB" w:eastAsia="de-DE"/>
        </w:rPr>
        <w:fldChar w:fldCharType="begin"/>
      </w:r>
      <w:r w:rsidRPr="00011E48">
        <w:rPr>
          <w:rFonts w:ascii="Times New Roman" w:eastAsia="Times New Roman" w:hAnsi="Times New Roman" w:cs="Times New Roman"/>
          <w:b/>
          <w:bCs/>
          <w:kern w:val="0"/>
          <w:sz w:val="18"/>
          <w:szCs w:val="18"/>
          <w:lang w:val="en-GB" w:eastAsia="de-DE"/>
        </w:rPr>
        <w:instrText xml:space="preserve"> SEQ Table \* ARABIC </w:instrText>
      </w:r>
      <w:r w:rsidRPr="00011E48">
        <w:rPr>
          <w:rFonts w:ascii="Times New Roman" w:eastAsia="Times New Roman" w:hAnsi="Times New Roman" w:cs="Times New Roman"/>
          <w:b/>
          <w:bCs/>
          <w:kern w:val="0"/>
          <w:sz w:val="18"/>
          <w:szCs w:val="18"/>
          <w:lang w:val="en-GB" w:eastAsia="de-DE"/>
        </w:rPr>
        <w:fldChar w:fldCharType="separate"/>
      </w:r>
      <w:r w:rsidRPr="00011E48">
        <w:rPr>
          <w:rFonts w:ascii="Times New Roman" w:eastAsia="Times New Roman" w:hAnsi="Times New Roman" w:cs="Times New Roman"/>
          <w:b/>
          <w:bCs/>
          <w:noProof/>
          <w:kern w:val="0"/>
          <w:sz w:val="18"/>
          <w:szCs w:val="18"/>
          <w:lang w:val="en-GB" w:eastAsia="de-DE"/>
        </w:rPr>
        <w:t>1</w:t>
      </w:r>
      <w:r w:rsidRPr="00011E48">
        <w:rPr>
          <w:rFonts w:ascii="Times New Roman" w:eastAsia="Times New Roman" w:hAnsi="Times New Roman" w:cs="Times New Roman"/>
          <w:b/>
          <w:bCs/>
          <w:noProof/>
          <w:kern w:val="0"/>
          <w:sz w:val="18"/>
          <w:szCs w:val="18"/>
          <w:lang w:val="en-GB" w:eastAsia="de-DE"/>
        </w:rPr>
        <w:fldChar w:fldCharType="end"/>
      </w:r>
      <w:r w:rsidRPr="00011E48">
        <w:rPr>
          <w:rFonts w:ascii="Times New Roman" w:eastAsia="Times New Roman" w:hAnsi="Times New Roman" w:cs="Times New Roman"/>
          <w:b/>
          <w:bCs/>
          <w:kern w:val="0"/>
          <w:sz w:val="18"/>
          <w:szCs w:val="18"/>
          <w:lang w:val="en-GB" w:eastAsia="de-DE"/>
        </w:rPr>
        <w:t>: Statistical evaluation of AQMS NO</w:t>
      </w:r>
      <w:r w:rsidRPr="00011E48">
        <w:rPr>
          <w:rFonts w:ascii="Times New Roman" w:eastAsia="Times New Roman" w:hAnsi="Times New Roman" w:cs="Times New Roman"/>
          <w:b/>
          <w:bCs/>
          <w:kern w:val="0"/>
          <w:sz w:val="18"/>
          <w:szCs w:val="18"/>
          <w:vertAlign w:val="subscript"/>
          <w:lang w:val="en-GB" w:eastAsia="de-DE"/>
        </w:rPr>
        <w:t>2</w:t>
      </w:r>
      <w:r w:rsidRPr="00011E48">
        <w:rPr>
          <w:rFonts w:ascii="Times New Roman" w:eastAsia="Times New Roman" w:hAnsi="Times New Roman" w:cs="Times New Roman"/>
          <w:b/>
          <w:bCs/>
          <w:kern w:val="0"/>
          <w:sz w:val="18"/>
          <w:szCs w:val="18"/>
          <w:lang w:val="en-GB" w:eastAsia="de-DE"/>
        </w:rPr>
        <w:t>, AQMS O</w:t>
      </w:r>
      <w:r w:rsidRPr="00011E48">
        <w:rPr>
          <w:rFonts w:ascii="Times New Roman" w:eastAsia="Times New Roman" w:hAnsi="Times New Roman" w:cs="Times New Roman"/>
          <w:b/>
          <w:bCs/>
          <w:kern w:val="0"/>
          <w:sz w:val="18"/>
          <w:szCs w:val="18"/>
          <w:vertAlign w:val="subscript"/>
          <w:lang w:val="en-GB" w:eastAsia="de-DE"/>
        </w:rPr>
        <w:t>3</w:t>
      </w:r>
      <w:r w:rsidRPr="00011E48">
        <w:rPr>
          <w:rFonts w:ascii="Times New Roman" w:eastAsia="Times New Roman" w:hAnsi="Times New Roman" w:cs="Times New Roman"/>
          <w:b/>
          <w:bCs/>
          <w:kern w:val="0"/>
          <w:sz w:val="18"/>
          <w:szCs w:val="18"/>
          <w:lang w:val="en-GB" w:eastAsia="de-DE"/>
        </w:rPr>
        <w:t>, Pandora NO</w:t>
      </w:r>
      <w:r w:rsidRPr="00011E48">
        <w:rPr>
          <w:rFonts w:ascii="Times New Roman" w:eastAsia="Times New Roman" w:hAnsi="Times New Roman" w:cs="Times New Roman"/>
          <w:b/>
          <w:bCs/>
          <w:kern w:val="0"/>
          <w:sz w:val="18"/>
          <w:szCs w:val="18"/>
          <w:vertAlign w:val="subscript"/>
          <w:lang w:val="en-GB" w:eastAsia="de-DE"/>
        </w:rPr>
        <w:t>2</w:t>
      </w:r>
      <w:r w:rsidRPr="00011E48">
        <w:rPr>
          <w:rFonts w:ascii="Times New Roman" w:eastAsia="Times New Roman" w:hAnsi="Times New Roman" w:cs="Times New Roman"/>
          <w:b/>
          <w:bCs/>
          <w:kern w:val="0"/>
          <w:sz w:val="18"/>
          <w:szCs w:val="18"/>
          <w:lang w:val="en-GB" w:eastAsia="de-DE"/>
        </w:rPr>
        <w:t xml:space="preserve"> VCD, and Pandora HCHO VCD for each experiment (Prior, </w:t>
      </w:r>
      <w:proofErr w:type="spellStart"/>
      <w:r w:rsidRPr="00011E48">
        <w:rPr>
          <w:rFonts w:ascii="Times New Roman" w:eastAsia="Times New Roman" w:hAnsi="Times New Roman" w:cs="Times New Roman"/>
          <w:b/>
          <w:bCs/>
          <w:kern w:val="0"/>
          <w:sz w:val="18"/>
          <w:szCs w:val="18"/>
          <w:lang w:val="en-GB" w:eastAsia="de-DE"/>
        </w:rPr>
        <w:t>Hybrid_NOx</w:t>
      </w:r>
      <w:proofErr w:type="spellEnd"/>
      <w:r w:rsidRPr="00011E48">
        <w:rPr>
          <w:rFonts w:ascii="Times New Roman" w:eastAsia="Times New Roman" w:hAnsi="Times New Roman" w:cs="Times New Roman"/>
          <w:b/>
          <w:bCs/>
          <w:kern w:val="0"/>
          <w:sz w:val="18"/>
          <w:szCs w:val="18"/>
          <w:lang w:val="en-GB" w:eastAsia="de-DE"/>
        </w:rPr>
        <w:t xml:space="preserve">, and </w:t>
      </w:r>
      <w:proofErr w:type="spellStart"/>
      <w:r w:rsidRPr="00011E48">
        <w:rPr>
          <w:rFonts w:ascii="Times New Roman" w:eastAsia="Times New Roman" w:hAnsi="Times New Roman" w:cs="Times New Roman"/>
          <w:b/>
          <w:bCs/>
          <w:kern w:val="0"/>
          <w:sz w:val="18"/>
          <w:szCs w:val="18"/>
          <w:lang w:val="en-GB" w:eastAsia="de-DE"/>
        </w:rPr>
        <w:t>Hybrid_NOx+VOC</w:t>
      </w:r>
      <w:proofErr w:type="spellEnd"/>
      <w:r w:rsidRPr="00011E48">
        <w:rPr>
          <w:rFonts w:ascii="Times New Roman" w:eastAsia="Times New Roman" w:hAnsi="Times New Roman" w:cs="Times New Roman"/>
          <w:b/>
          <w:bCs/>
          <w:kern w:val="0"/>
          <w:sz w:val="18"/>
          <w:szCs w:val="18"/>
          <w:lang w:val="en-GB" w:eastAsia="de-DE"/>
        </w:rPr>
        <w:t>). The statistics were calculated over the corresponding observation locations and averaged over the entire study period. Surface NO</w:t>
      </w:r>
      <w:r w:rsidRPr="00011E48">
        <w:rPr>
          <w:rFonts w:ascii="Times New Roman" w:eastAsia="Times New Roman" w:hAnsi="Times New Roman" w:cs="Times New Roman"/>
          <w:b/>
          <w:bCs/>
          <w:kern w:val="0"/>
          <w:sz w:val="18"/>
          <w:szCs w:val="18"/>
          <w:vertAlign w:val="subscript"/>
          <w:lang w:val="en-GB" w:eastAsia="de-DE"/>
        </w:rPr>
        <w:t>2</w:t>
      </w:r>
      <w:r w:rsidRPr="00011E48">
        <w:rPr>
          <w:rFonts w:ascii="Times New Roman" w:eastAsia="Times New Roman" w:hAnsi="Times New Roman" w:cs="Times New Roman"/>
          <w:b/>
          <w:bCs/>
          <w:kern w:val="0"/>
          <w:sz w:val="18"/>
          <w:szCs w:val="18"/>
          <w:lang w:val="en-GB" w:eastAsia="de-DE"/>
        </w:rPr>
        <w:t xml:space="preserve"> and O</w:t>
      </w:r>
      <w:r w:rsidRPr="00011E48">
        <w:rPr>
          <w:rFonts w:ascii="Times New Roman" w:eastAsia="Times New Roman" w:hAnsi="Times New Roman" w:cs="Times New Roman"/>
          <w:b/>
          <w:bCs/>
          <w:kern w:val="0"/>
          <w:sz w:val="18"/>
          <w:szCs w:val="18"/>
          <w:vertAlign w:val="subscript"/>
          <w:lang w:val="en-GB" w:eastAsia="de-DE"/>
        </w:rPr>
        <w:t>3</w:t>
      </w:r>
      <w:r w:rsidRPr="00011E48">
        <w:rPr>
          <w:rFonts w:ascii="Times New Roman" w:eastAsia="Times New Roman" w:hAnsi="Times New Roman" w:cs="Times New Roman"/>
          <w:b/>
          <w:bCs/>
          <w:kern w:val="0"/>
          <w:sz w:val="18"/>
          <w:szCs w:val="18"/>
          <w:lang w:val="en-GB" w:eastAsia="de-DE"/>
        </w:rPr>
        <w:t xml:space="preserve"> observations were obtained from the AQMS network, while NO</w:t>
      </w:r>
      <w:r w:rsidRPr="00011E48">
        <w:rPr>
          <w:rFonts w:ascii="Times New Roman" w:eastAsia="Times New Roman" w:hAnsi="Times New Roman" w:cs="Times New Roman"/>
          <w:b/>
          <w:bCs/>
          <w:kern w:val="0"/>
          <w:sz w:val="18"/>
          <w:szCs w:val="18"/>
          <w:vertAlign w:val="subscript"/>
          <w:lang w:val="en-GB" w:eastAsia="de-DE"/>
        </w:rPr>
        <w:t>2</w:t>
      </w:r>
      <w:r w:rsidRPr="00011E48">
        <w:rPr>
          <w:rFonts w:ascii="Times New Roman" w:eastAsia="Times New Roman" w:hAnsi="Times New Roman" w:cs="Times New Roman"/>
          <w:b/>
          <w:bCs/>
          <w:kern w:val="0"/>
          <w:sz w:val="18"/>
          <w:szCs w:val="18"/>
          <w:lang w:val="en-GB" w:eastAsia="de-DE"/>
        </w:rPr>
        <w:t xml:space="preserve"> and HCHO VCD observations were obtained from Pandora measurements.</w:t>
      </w:r>
    </w:p>
    <w:tbl>
      <w:tblPr>
        <w:tblW w:w="8803" w:type="dxa"/>
        <w:jc w:val="center"/>
        <w:tblBorders>
          <w:top w:val="single" w:sz="4" w:space="0" w:color="auto"/>
          <w:bottom w:val="single" w:sz="4" w:space="0" w:color="auto"/>
        </w:tblBorders>
        <w:tblLayout w:type="fixed"/>
        <w:tblCellMar>
          <w:left w:w="99" w:type="dxa"/>
          <w:right w:w="99" w:type="dxa"/>
        </w:tblCellMar>
        <w:tblLook w:val="04A0" w:firstRow="1" w:lastRow="0" w:firstColumn="1" w:lastColumn="0" w:noHBand="0" w:noVBand="1"/>
      </w:tblPr>
      <w:tblGrid>
        <w:gridCol w:w="1704"/>
        <w:gridCol w:w="1847"/>
        <w:gridCol w:w="875"/>
        <w:gridCol w:w="875"/>
        <w:gridCol w:w="876"/>
        <w:gridCol w:w="875"/>
        <w:gridCol w:w="875"/>
        <w:gridCol w:w="876"/>
      </w:tblGrid>
      <w:tr w:rsidR="00011E48" w:rsidRPr="00011E48" w14:paraId="44B6C654" w14:textId="77777777" w:rsidTr="00AA4B54">
        <w:trPr>
          <w:trHeight w:val="332"/>
          <w:jc w:val="center"/>
        </w:trPr>
        <w:tc>
          <w:tcPr>
            <w:tcW w:w="1704" w:type="dxa"/>
            <w:tcBorders>
              <w:top w:val="single" w:sz="4" w:space="0" w:color="auto"/>
              <w:bottom w:val="single" w:sz="4" w:space="0" w:color="auto"/>
              <w:right w:val="single" w:sz="4" w:space="0" w:color="auto"/>
            </w:tcBorders>
            <w:vAlign w:val="center"/>
          </w:tcPr>
          <w:p w14:paraId="6D166F20"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4"/>
                <w:lang w:val="en-GB" w:eastAsia="de-DE"/>
              </w:rPr>
            </w:pPr>
            <w:r w:rsidRPr="00011E48">
              <w:rPr>
                <w:rFonts w:ascii="Times New Roman" w:eastAsia="Times New Roman" w:hAnsi="Times New Roman" w:cs="Times New Roman"/>
                <w:kern w:val="0"/>
                <w:szCs w:val="24"/>
                <w:lang w:val="en-GB" w:eastAsia="de-DE"/>
              </w:rPr>
              <w:t>Species</w:t>
            </w:r>
          </w:p>
        </w:tc>
        <w:tc>
          <w:tcPr>
            <w:tcW w:w="1847" w:type="dxa"/>
            <w:tcBorders>
              <w:top w:val="single" w:sz="4" w:space="0" w:color="auto"/>
              <w:bottom w:val="single" w:sz="4" w:space="0" w:color="auto"/>
              <w:right w:val="single" w:sz="4" w:space="0" w:color="auto"/>
            </w:tcBorders>
            <w:shd w:val="clear" w:color="auto" w:fill="auto"/>
            <w:noWrap/>
            <w:vAlign w:val="center"/>
            <w:hideMark/>
          </w:tcPr>
          <w:p w14:paraId="10B20AD3"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rPr>
            </w:pPr>
            <w:r w:rsidRPr="00011E48">
              <w:rPr>
                <w:rFonts w:ascii="Times New Roman" w:eastAsia="Times New Roman" w:hAnsi="Times New Roman" w:cs="Times New Roman"/>
                <w:kern w:val="0"/>
                <w:szCs w:val="24"/>
                <w:lang w:val="en-GB" w:eastAsia="de-DE"/>
              </w:rPr>
              <w:br w:type="page"/>
              <w:t>Experiment</w:t>
            </w:r>
          </w:p>
        </w:tc>
        <w:tc>
          <w:tcPr>
            <w:tcW w:w="875" w:type="dxa"/>
            <w:tcBorders>
              <w:top w:val="single" w:sz="4" w:space="0" w:color="auto"/>
              <w:left w:val="single" w:sz="4" w:space="0" w:color="auto"/>
              <w:bottom w:val="single" w:sz="4" w:space="0" w:color="auto"/>
            </w:tcBorders>
            <w:shd w:val="clear" w:color="auto" w:fill="auto"/>
            <w:noWrap/>
            <w:vAlign w:val="center"/>
            <w:hideMark/>
          </w:tcPr>
          <w:p w14:paraId="1955FF38"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Obs.</w:t>
            </w:r>
          </w:p>
        </w:tc>
        <w:tc>
          <w:tcPr>
            <w:tcW w:w="875" w:type="dxa"/>
            <w:tcBorders>
              <w:top w:val="single" w:sz="4" w:space="0" w:color="auto"/>
              <w:bottom w:val="single" w:sz="4" w:space="0" w:color="auto"/>
            </w:tcBorders>
            <w:shd w:val="clear" w:color="auto" w:fill="auto"/>
            <w:noWrap/>
            <w:vAlign w:val="center"/>
            <w:hideMark/>
          </w:tcPr>
          <w:p w14:paraId="132CD486"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CMAQ</w:t>
            </w:r>
          </w:p>
        </w:tc>
        <w:tc>
          <w:tcPr>
            <w:tcW w:w="876" w:type="dxa"/>
            <w:tcBorders>
              <w:top w:val="single" w:sz="4" w:space="0" w:color="auto"/>
              <w:bottom w:val="single" w:sz="4" w:space="0" w:color="auto"/>
            </w:tcBorders>
            <w:shd w:val="clear" w:color="auto" w:fill="auto"/>
            <w:noWrap/>
            <w:vAlign w:val="center"/>
            <w:hideMark/>
          </w:tcPr>
          <w:p w14:paraId="39E1CF9A"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MBE</w:t>
            </w:r>
          </w:p>
        </w:tc>
        <w:tc>
          <w:tcPr>
            <w:tcW w:w="875" w:type="dxa"/>
            <w:tcBorders>
              <w:top w:val="single" w:sz="4" w:space="0" w:color="auto"/>
              <w:bottom w:val="single" w:sz="4" w:space="0" w:color="auto"/>
            </w:tcBorders>
            <w:shd w:val="clear" w:color="auto" w:fill="auto"/>
            <w:noWrap/>
            <w:vAlign w:val="center"/>
            <w:hideMark/>
          </w:tcPr>
          <w:p w14:paraId="26E62642"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RMSE</w:t>
            </w:r>
          </w:p>
        </w:tc>
        <w:tc>
          <w:tcPr>
            <w:tcW w:w="875" w:type="dxa"/>
            <w:tcBorders>
              <w:top w:val="single" w:sz="4" w:space="0" w:color="auto"/>
              <w:bottom w:val="single" w:sz="4" w:space="0" w:color="auto"/>
            </w:tcBorders>
            <w:shd w:val="clear" w:color="auto" w:fill="auto"/>
            <w:noWrap/>
            <w:vAlign w:val="center"/>
            <w:hideMark/>
          </w:tcPr>
          <w:p w14:paraId="66566740"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IOA</w:t>
            </w:r>
          </w:p>
        </w:tc>
        <w:tc>
          <w:tcPr>
            <w:tcW w:w="876" w:type="dxa"/>
            <w:tcBorders>
              <w:top w:val="single" w:sz="4" w:space="0" w:color="auto"/>
              <w:bottom w:val="single" w:sz="4" w:space="0" w:color="auto"/>
            </w:tcBorders>
            <w:shd w:val="clear" w:color="auto" w:fill="auto"/>
            <w:noWrap/>
            <w:vAlign w:val="center"/>
            <w:hideMark/>
          </w:tcPr>
          <w:p w14:paraId="1BC3E1B6"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r</w:t>
            </w:r>
          </w:p>
        </w:tc>
      </w:tr>
      <w:tr w:rsidR="00011E48" w:rsidRPr="00011E48" w14:paraId="457833F2" w14:textId="77777777" w:rsidTr="00AA4B54">
        <w:trPr>
          <w:trHeight w:val="332"/>
          <w:jc w:val="center"/>
        </w:trPr>
        <w:tc>
          <w:tcPr>
            <w:tcW w:w="1704" w:type="dxa"/>
            <w:vMerge w:val="restart"/>
            <w:tcBorders>
              <w:top w:val="single" w:sz="4" w:space="0" w:color="auto"/>
              <w:right w:val="single" w:sz="4" w:space="0" w:color="auto"/>
            </w:tcBorders>
            <w:vAlign w:val="center"/>
          </w:tcPr>
          <w:p w14:paraId="32E35BBC" w14:textId="77777777" w:rsidR="00011E48" w:rsidRPr="00011E48" w:rsidRDefault="00011E48" w:rsidP="00011E48">
            <w:pPr>
              <w:widowControl/>
              <w:wordWrap/>
              <w:autoSpaceDE/>
              <w:autoSpaceDN/>
              <w:spacing w:after="0" w:line="240" w:lineRule="auto"/>
              <w:jc w:val="center"/>
              <w:rPr>
                <w:rFonts w:ascii="Times New Roman" w:eastAsia="바탕" w:hAnsi="Times New Roman" w:cs="Times New Roman"/>
                <w:kern w:val="0"/>
                <w:szCs w:val="24"/>
                <w:lang w:val="en-GB"/>
              </w:rPr>
            </w:pPr>
            <w:r w:rsidRPr="00011E48">
              <w:rPr>
                <w:rFonts w:ascii="Times New Roman" w:eastAsia="바탕" w:hAnsi="Times New Roman" w:cs="Times New Roman" w:hint="eastAsia"/>
                <w:kern w:val="0"/>
                <w:szCs w:val="24"/>
                <w:lang w:val="en-GB"/>
              </w:rPr>
              <w:t>A</w:t>
            </w:r>
            <w:r w:rsidRPr="00011E48">
              <w:rPr>
                <w:rFonts w:ascii="Times New Roman" w:eastAsia="바탕" w:hAnsi="Times New Roman" w:cs="Times New Roman"/>
                <w:kern w:val="0"/>
                <w:szCs w:val="24"/>
                <w:lang w:val="en-GB"/>
              </w:rPr>
              <w:t>QMS</w:t>
            </w:r>
          </w:p>
          <w:p w14:paraId="5742FF41"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4"/>
                <w:vertAlign w:val="subscript"/>
                <w:lang w:val="en-GB" w:eastAsia="de-DE"/>
              </w:rPr>
            </w:pPr>
            <w:r w:rsidRPr="00011E48">
              <w:rPr>
                <w:rFonts w:ascii="Times New Roman" w:eastAsia="Times New Roman" w:hAnsi="Times New Roman" w:cs="Times New Roman"/>
                <w:kern w:val="0"/>
                <w:szCs w:val="24"/>
                <w:lang w:val="en-GB" w:eastAsia="de-DE"/>
              </w:rPr>
              <w:t>NO</w:t>
            </w:r>
            <w:r w:rsidRPr="00011E48">
              <w:rPr>
                <w:rFonts w:ascii="Times New Roman" w:eastAsia="Times New Roman" w:hAnsi="Times New Roman" w:cs="Times New Roman"/>
                <w:kern w:val="0"/>
                <w:szCs w:val="24"/>
                <w:vertAlign w:val="subscript"/>
                <w:lang w:val="en-GB" w:eastAsia="de-DE"/>
              </w:rPr>
              <w:t>2</w:t>
            </w:r>
          </w:p>
          <w:p w14:paraId="40475726"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[p</w:t>
            </w:r>
            <w:r w:rsidRPr="00011E48">
              <w:rPr>
                <w:rFonts w:ascii="Times New Roman" w:eastAsia="맑은 고딕" w:hAnsi="Times New Roman" w:cs="Times New Roman"/>
                <w:color w:val="000000"/>
                <w:kern w:val="0"/>
                <w:szCs w:val="24"/>
                <w:lang w:val="en-GB" w:eastAsia="de-DE"/>
              </w:rPr>
              <w:t>pb]</w:t>
            </w:r>
          </w:p>
        </w:tc>
        <w:tc>
          <w:tcPr>
            <w:tcW w:w="1847" w:type="dxa"/>
            <w:tcBorders>
              <w:top w:val="single" w:sz="4" w:space="0" w:color="auto"/>
              <w:right w:val="single" w:sz="4" w:space="0" w:color="auto"/>
            </w:tcBorders>
            <w:shd w:val="clear" w:color="auto" w:fill="auto"/>
            <w:noWrap/>
            <w:vAlign w:val="center"/>
            <w:hideMark/>
          </w:tcPr>
          <w:p w14:paraId="0BE73449"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Prior</w:t>
            </w:r>
          </w:p>
        </w:tc>
        <w:tc>
          <w:tcPr>
            <w:tcW w:w="875" w:type="dxa"/>
            <w:vMerge w:val="restart"/>
            <w:tcBorders>
              <w:top w:val="single" w:sz="4" w:space="0" w:color="auto"/>
              <w:left w:val="nil"/>
              <w:bottom w:val="nil"/>
              <w:right w:val="nil"/>
            </w:tcBorders>
            <w:shd w:val="clear" w:color="auto" w:fill="auto"/>
            <w:noWrap/>
            <w:vAlign w:val="center"/>
          </w:tcPr>
          <w:p w14:paraId="3FCD8214"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12.22</w:t>
            </w:r>
          </w:p>
        </w:tc>
        <w:tc>
          <w:tcPr>
            <w:tcW w:w="875" w:type="dxa"/>
            <w:tcBorders>
              <w:top w:val="single" w:sz="4" w:space="0" w:color="auto"/>
              <w:left w:val="nil"/>
              <w:bottom w:val="nil"/>
              <w:right w:val="nil"/>
            </w:tcBorders>
            <w:shd w:val="clear" w:color="auto" w:fill="auto"/>
            <w:noWrap/>
            <w:vAlign w:val="center"/>
          </w:tcPr>
          <w:p w14:paraId="4A03FD86"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15.56</w:t>
            </w:r>
          </w:p>
        </w:tc>
        <w:tc>
          <w:tcPr>
            <w:tcW w:w="876" w:type="dxa"/>
            <w:tcBorders>
              <w:top w:val="single" w:sz="4" w:space="0" w:color="auto"/>
              <w:left w:val="nil"/>
              <w:bottom w:val="nil"/>
              <w:right w:val="nil"/>
            </w:tcBorders>
            <w:shd w:val="clear" w:color="auto" w:fill="auto"/>
            <w:noWrap/>
            <w:vAlign w:val="center"/>
          </w:tcPr>
          <w:p w14:paraId="1621E9B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3.34</w:t>
            </w:r>
          </w:p>
        </w:tc>
        <w:tc>
          <w:tcPr>
            <w:tcW w:w="875" w:type="dxa"/>
            <w:tcBorders>
              <w:top w:val="single" w:sz="4" w:space="0" w:color="auto"/>
              <w:left w:val="nil"/>
              <w:bottom w:val="nil"/>
              <w:right w:val="nil"/>
            </w:tcBorders>
            <w:shd w:val="clear" w:color="auto" w:fill="auto"/>
            <w:noWrap/>
            <w:vAlign w:val="center"/>
          </w:tcPr>
          <w:p w14:paraId="2E105B90"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15.49</w:t>
            </w:r>
          </w:p>
        </w:tc>
        <w:tc>
          <w:tcPr>
            <w:tcW w:w="875" w:type="dxa"/>
            <w:tcBorders>
              <w:top w:val="single" w:sz="4" w:space="0" w:color="auto"/>
              <w:left w:val="nil"/>
              <w:bottom w:val="nil"/>
              <w:right w:val="nil"/>
            </w:tcBorders>
            <w:shd w:val="clear" w:color="auto" w:fill="auto"/>
            <w:noWrap/>
            <w:vAlign w:val="center"/>
          </w:tcPr>
          <w:p w14:paraId="449578B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0.59</w:t>
            </w:r>
          </w:p>
        </w:tc>
        <w:tc>
          <w:tcPr>
            <w:tcW w:w="876" w:type="dxa"/>
            <w:tcBorders>
              <w:top w:val="single" w:sz="4" w:space="0" w:color="auto"/>
              <w:left w:val="nil"/>
              <w:bottom w:val="nil"/>
              <w:right w:val="nil"/>
            </w:tcBorders>
            <w:shd w:val="clear" w:color="auto" w:fill="auto"/>
            <w:noWrap/>
            <w:vAlign w:val="center"/>
          </w:tcPr>
          <w:p w14:paraId="35457A79"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0.46</w:t>
            </w:r>
          </w:p>
        </w:tc>
      </w:tr>
      <w:tr w:rsidR="00011E48" w:rsidRPr="00011E48" w14:paraId="5EDC9001" w14:textId="77777777" w:rsidTr="00AA4B54">
        <w:trPr>
          <w:trHeight w:val="332"/>
          <w:jc w:val="center"/>
        </w:trPr>
        <w:tc>
          <w:tcPr>
            <w:tcW w:w="1704" w:type="dxa"/>
            <w:vMerge/>
            <w:tcBorders>
              <w:right w:val="single" w:sz="4" w:space="0" w:color="auto"/>
            </w:tcBorders>
            <w:vAlign w:val="center"/>
          </w:tcPr>
          <w:p w14:paraId="2F6DA966"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1847" w:type="dxa"/>
            <w:tcBorders>
              <w:right w:val="single" w:sz="4" w:space="0" w:color="auto"/>
            </w:tcBorders>
            <w:shd w:val="clear" w:color="auto" w:fill="auto"/>
            <w:noWrap/>
            <w:vAlign w:val="center"/>
            <w:hideMark/>
          </w:tcPr>
          <w:p w14:paraId="1D0889C5"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roofErr w:type="spellStart"/>
            <w:r w:rsidRPr="00011E48">
              <w:rPr>
                <w:rFonts w:ascii="Times New Roman" w:eastAsia="맑은 고딕" w:hAnsi="Times New Roman" w:cs="Times New Roman"/>
                <w:color w:val="000000"/>
                <w:kern w:val="0"/>
                <w:szCs w:val="24"/>
                <w:lang w:val="en-GB" w:eastAsia="de-DE"/>
              </w:rPr>
              <w:t>Hybrid_NOx</w:t>
            </w:r>
            <w:proofErr w:type="spellEnd"/>
          </w:p>
        </w:tc>
        <w:tc>
          <w:tcPr>
            <w:tcW w:w="875" w:type="dxa"/>
            <w:vMerge/>
            <w:tcBorders>
              <w:top w:val="nil"/>
              <w:left w:val="nil"/>
              <w:bottom w:val="nil"/>
              <w:right w:val="nil"/>
            </w:tcBorders>
            <w:shd w:val="clear" w:color="auto" w:fill="auto"/>
            <w:noWrap/>
            <w:vAlign w:val="center"/>
            <w:hideMark/>
          </w:tcPr>
          <w:p w14:paraId="6B9A0AA1"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875" w:type="dxa"/>
            <w:tcBorders>
              <w:top w:val="nil"/>
              <w:left w:val="nil"/>
              <w:bottom w:val="nil"/>
              <w:right w:val="nil"/>
            </w:tcBorders>
            <w:shd w:val="clear" w:color="auto" w:fill="auto"/>
            <w:noWrap/>
            <w:vAlign w:val="center"/>
          </w:tcPr>
          <w:p w14:paraId="0F96A7F2"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9.00</w:t>
            </w:r>
          </w:p>
        </w:tc>
        <w:tc>
          <w:tcPr>
            <w:tcW w:w="876" w:type="dxa"/>
            <w:tcBorders>
              <w:top w:val="nil"/>
              <w:left w:val="nil"/>
              <w:bottom w:val="nil"/>
              <w:right w:val="nil"/>
            </w:tcBorders>
            <w:shd w:val="clear" w:color="auto" w:fill="auto"/>
            <w:noWrap/>
            <w:vAlign w:val="center"/>
          </w:tcPr>
          <w:p w14:paraId="21B5A04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-3.22</w:t>
            </w:r>
          </w:p>
        </w:tc>
        <w:tc>
          <w:tcPr>
            <w:tcW w:w="875" w:type="dxa"/>
            <w:tcBorders>
              <w:top w:val="nil"/>
              <w:left w:val="nil"/>
              <w:bottom w:val="nil"/>
              <w:right w:val="nil"/>
            </w:tcBorders>
            <w:shd w:val="clear" w:color="auto" w:fill="auto"/>
            <w:noWrap/>
            <w:vAlign w:val="center"/>
          </w:tcPr>
          <w:p w14:paraId="4FD32B9F"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8.33</w:t>
            </w:r>
          </w:p>
        </w:tc>
        <w:tc>
          <w:tcPr>
            <w:tcW w:w="875" w:type="dxa"/>
            <w:tcBorders>
              <w:top w:val="nil"/>
              <w:left w:val="nil"/>
              <w:bottom w:val="nil"/>
              <w:right w:val="nil"/>
            </w:tcBorders>
            <w:shd w:val="clear" w:color="auto" w:fill="auto"/>
            <w:noWrap/>
            <w:vAlign w:val="center"/>
          </w:tcPr>
          <w:p w14:paraId="733D4C73"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0.74</w:t>
            </w:r>
          </w:p>
        </w:tc>
        <w:tc>
          <w:tcPr>
            <w:tcW w:w="876" w:type="dxa"/>
            <w:tcBorders>
              <w:top w:val="nil"/>
              <w:left w:val="nil"/>
              <w:bottom w:val="nil"/>
              <w:right w:val="nil"/>
            </w:tcBorders>
            <w:shd w:val="clear" w:color="auto" w:fill="auto"/>
            <w:noWrap/>
            <w:vAlign w:val="center"/>
          </w:tcPr>
          <w:p w14:paraId="11AAC1E1"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0.60</w:t>
            </w:r>
          </w:p>
        </w:tc>
      </w:tr>
      <w:tr w:rsidR="00011E48" w:rsidRPr="00011E48" w14:paraId="449590F9" w14:textId="77777777" w:rsidTr="00AA4B54">
        <w:trPr>
          <w:trHeight w:val="332"/>
          <w:jc w:val="center"/>
        </w:trPr>
        <w:tc>
          <w:tcPr>
            <w:tcW w:w="1704" w:type="dxa"/>
            <w:vMerge/>
            <w:tcBorders>
              <w:right w:val="single" w:sz="4" w:space="0" w:color="auto"/>
            </w:tcBorders>
            <w:vAlign w:val="center"/>
          </w:tcPr>
          <w:p w14:paraId="4E8D6A34"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1847" w:type="dxa"/>
            <w:tcBorders>
              <w:right w:val="single" w:sz="4" w:space="0" w:color="auto"/>
            </w:tcBorders>
            <w:shd w:val="clear" w:color="auto" w:fill="auto"/>
            <w:noWrap/>
            <w:vAlign w:val="center"/>
            <w:hideMark/>
          </w:tcPr>
          <w:p w14:paraId="22301FB0"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roofErr w:type="spellStart"/>
            <w:r w:rsidRPr="00011E48">
              <w:rPr>
                <w:rFonts w:ascii="Times New Roman" w:eastAsia="맑은 고딕" w:hAnsi="Times New Roman" w:cs="Times New Roman"/>
                <w:color w:val="000000"/>
                <w:kern w:val="0"/>
                <w:szCs w:val="24"/>
                <w:lang w:val="en-GB" w:eastAsia="de-DE"/>
              </w:rPr>
              <w:t>Hybrid_NOx+VOC</w:t>
            </w:r>
            <w:proofErr w:type="spellEnd"/>
          </w:p>
        </w:tc>
        <w:tc>
          <w:tcPr>
            <w:tcW w:w="875" w:type="dxa"/>
            <w:vMerge/>
            <w:tcBorders>
              <w:top w:val="nil"/>
              <w:left w:val="nil"/>
              <w:bottom w:val="single" w:sz="4" w:space="0" w:color="auto"/>
              <w:right w:val="nil"/>
            </w:tcBorders>
            <w:shd w:val="clear" w:color="auto" w:fill="auto"/>
            <w:noWrap/>
            <w:vAlign w:val="center"/>
            <w:hideMark/>
          </w:tcPr>
          <w:p w14:paraId="2B3C71C3"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875" w:type="dxa"/>
            <w:tcBorders>
              <w:top w:val="nil"/>
              <w:left w:val="nil"/>
              <w:bottom w:val="single" w:sz="4" w:space="0" w:color="auto"/>
              <w:right w:val="nil"/>
            </w:tcBorders>
            <w:shd w:val="clear" w:color="auto" w:fill="auto"/>
            <w:noWrap/>
            <w:vAlign w:val="center"/>
          </w:tcPr>
          <w:p w14:paraId="48E522FA"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9.41</w:t>
            </w:r>
          </w:p>
        </w:tc>
        <w:tc>
          <w:tcPr>
            <w:tcW w:w="876" w:type="dxa"/>
            <w:tcBorders>
              <w:top w:val="nil"/>
              <w:left w:val="nil"/>
              <w:bottom w:val="single" w:sz="4" w:space="0" w:color="auto"/>
              <w:right w:val="nil"/>
            </w:tcBorders>
            <w:shd w:val="clear" w:color="auto" w:fill="auto"/>
            <w:noWrap/>
            <w:vAlign w:val="center"/>
          </w:tcPr>
          <w:p w14:paraId="197BA232"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-2.81</w:t>
            </w:r>
          </w:p>
        </w:tc>
        <w:tc>
          <w:tcPr>
            <w:tcW w:w="875" w:type="dxa"/>
            <w:tcBorders>
              <w:top w:val="nil"/>
              <w:left w:val="nil"/>
              <w:bottom w:val="single" w:sz="4" w:space="0" w:color="auto"/>
              <w:right w:val="nil"/>
            </w:tcBorders>
            <w:shd w:val="clear" w:color="auto" w:fill="auto"/>
            <w:noWrap/>
            <w:vAlign w:val="center"/>
          </w:tcPr>
          <w:p w14:paraId="370A15AE"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8.26</w:t>
            </w:r>
          </w:p>
        </w:tc>
        <w:tc>
          <w:tcPr>
            <w:tcW w:w="875" w:type="dxa"/>
            <w:tcBorders>
              <w:top w:val="nil"/>
              <w:left w:val="nil"/>
              <w:bottom w:val="single" w:sz="4" w:space="0" w:color="auto"/>
              <w:right w:val="nil"/>
            </w:tcBorders>
            <w:shd w:val="clear" w:color="auto" w:fill="auto"/>
            <w:noWrap/>
            <w:vAlign w:val="center"/>
          </w:tcPr>
          <w:p w14:paraId="18EE92EC"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0.76</w:t>
            </w:r>
          </w:p>
        </w:tc>
        <w:tc>
          <w:tcPr>
            <w:tcW w:w="876" w:type="dxa"/>
            <w:tcBorders>
              <w:top w:val="nil"/>
              <w:left w:val="nil"/>
              <w:bottom w:val="single" w:sz="4" w:space="0" w:color="auto"/>
              <w:right w:val="nil"/>
            </w:tcBorders>
            <w:shd w:val="clear" w:color="auto" w:fill="auto"/>
            <w:noWrap/>
            <w:vAlign w:val="center"/>
          </w:tcPr>
          <w:p w14:paraId="138731FE"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0.61</w:t>
            </w:r>
          </w:p>
        </w:tc>
      </w:tr>
      <w:tr w:rsidR="00011E48" w:rsidRPr="00011E48" w14:paraId="6B58E445" w14:textId="77777777" w:rsidTr="00AA4B54">
        <w:trPr>
          <w:trHeight w:val="332"/>
          <w:jc w:val="center"/>
        </w:trPr>
        <w:tc>
          <w:tcPr>
            <w:tcW w:w="1704" w:type="dxa"/>
            <w:vMerge w:val="restart"/>
            <w:tcBorders>
              <w:top w:val="single" w:sz="4" w:space="0" w:color="auto"/>
              <w:right w:val="single" w:sz="4" w:space="0" w:color="auto"/>
            </w:tcBorders>
            <w:vAlign w:val="center"/>
          </w:tcPr>
          <w:p w14:paraId="38E78709"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rPr>
            </w:pPr>
            <w:r w:rsidRPr="00011E48">
              <w:rPr>
                <w:rFonts w:ascii="Times New Roman" w:eastAsia="맑은 고딕" w:hAnsi="Times New Roman" w:cs="Times New Roman" w:hint="eastAsia"/>
                <w:color w:val="000000"/>
                <w:kern w:val="0"/>
                <w:szCs w:val="24"/>
                <w:lang w:val="en-GB"/>
              </w:rPr>
              <w:t>A</w:t>
            </w:r>
            <w:r w:rsidRPr="00011E48">
              <w:rPr>
                <w:rFonts w:ascii="Times New Roman" w:eastAsia="맑은 고딕" w:hAnsi="Times New Roman" w:cs="Times New Roman"/>
                <w:color w:val="000000"/>
                <w:kern w:val="0"/>
                <w:szCs w:val="24"/>
                <w:lang w:val="en-GB"/>
              </w:rPr>
              <w:t>QMS</w:t>
            </w:r>
          </w:p>
          <w:p w14:paraId="2534314C"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vertAlign w:val="subscript"/>
                <w:lang w:val="en-GB" w:eastAsia="de-DE"/>
              </w:rPr>
            </w:pPr>
            <w:r w:rsidRPr="00011E48">
              <w:rPr>
                <w:rFonts w:ascii="Times New Roman" w:eastAsia="맑은 고딕" w:hAnsi="Times New Roman" w:cs="Times New Roman"/>
                <w:color w:val="000000"/>
                <w:kern w:val="0"/>
                <w:szCs w:val="24"/>
                <w:lang w:val="en-GB" w:eastAsia="de-DE"/>
              </w:rPr>
              <w:t>O</w:t>
            </w:r>
            <w:r w:rsidRPr="00011E48">
              <w:rPr>
                <w:rFonts w:ascii="Times New Roman" w:eastAsia="맑은 고딕" w:hAnsi="Times New Roman" w:cs="Times New Roman"/>
                <w:color w:val="000000"/>
                <w:kern w:val="0"/>
                <w:szCs w:val="24"/>
                <w:vertAlign w:val="subscript"/>
                <w:lang w:val="en-GB" w:eastAsia="de-DE"/>
              </w:rPr>
              <w:t>3</w:t>
            </w:r>
          </w:p>
          <w:p w14:paraId="5E53FFF5"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[ppb]</w:t>
            </w:r>
          </w:p>
        </w:tc>
        <w:tc>
          <w:tcPr>
            <w:tcW w:w="1847" w:type="dxa"/>
            <w:tcBorders>
              <w:top w:val="single" w:sz="4" w:space="0" w:color="auto"/>
              <w:right w:val="single" w:sz="4" w:space="0" w:color="auto"/>
            </w:tcBorders>
            <w:shd w:val="clear" w:color="auto" w:fill="auto"/>
            <w:noWrap/>
            <w:vAlign w:val="center"/>
            <w:hideMark/>
          </w:tcPr>
          <w:p w14:paraId="578F418E"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Prior</w:t>
            </w:r>
          </w:p>
        </w:tc>
        <w:tc>
          <w:tcPr>
            <w:tcW w:w="875" w:type="dxa"/>
            <w:vMerge w:val="restart"/>
            <w:tcBorders>
              <w:top w:val="single" w:sz="4" w:space="0" w:color="auto"/>
              <w:left w:val="single" w:sz="4" w:space="0" w:color="auto"/>
              <w:bottom w:val="nil"/>
            </w:tcBorders>
            <w:shd w:val="clear" w:color="auto" w:fill="auto"/>
            <w:noWrap/>
            <w:vAlign w:val="center"/>
            <w:hideMark/>
          </w:tcPr>
          <w:p w14:paraId="2DD2BF7A"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44.48</w:t>
            </w:r>
          </w:p>
          <w:p w14:paraId="09086B76"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875" w:type="dxa"/>
            <w:tcBorders>
              <w:top w:val="single" w:sz="4" w:space="0" w:color="auto"/>
              <w:left w:val="nil"/>
              <w:bottom w:val="nil"/>
              <w:right w:val="nil"/>
            </w:tcBorders>
            <w:shd w:val="clear" w:color="auto" w:fill="auto"/>
            <w:noWrap/>
            <w:vAlign w:val="center"/>
          </w:tcPr>
          <w:p w14:paraId="230F53ED"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38.20</w:t>
            </w:r>
          </w:p>
        </w:tc>
        <w:tc>
          <w:tcPr>
            <w:tcW w:w="876" w:type="dxa"/>
            <w:tcBorders>
              <w:top w:val="single" w:sz="4" w:space="0" w:color="auto"/>
              <w:left w:val="nil"/>
              <w:bottom w:val="nil"/>
              <w:right w:val="nil"/>
            </w:tcBorders>
            <w:shd w:val="clear" w:color="auto" w:fill="auto"/>
            <w:noWrap/>
            <w:vAlign w:val="center"/>
          </w:tcPr>
          <w:p w14:paraId="1E137E92"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-6.29</w:t>
            </w:r>
          </w:p>
        </w:tc>
        <w:tc>
          <w:tcPr>
            <w:tcW w:w="875" w:type="dxa"/>
            <w:tcBorders>
              <w:top w:val="single" w:sz="4" w:space="0" w:color="auto"/>
              <w:left w:val="nil"/>
              <w:bottom w:val="nil"/>
              <w:right w:val="nil"/>
            </w:tcBorders>
            <w:shd w:val="clear" w:color="auto" w:fill="auto"/>
            <w:noWrap/>
            <w:vAlign w:val="center"/>
          </w:tcPr>
          <w:p w14:paraId="6CEB67DA"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18.30</w:t>
            </w:r>
          </w:p>
        </w:tc>
        <w:tc>
          <w:tcPr>
            <w:tcW w:w="875" w:type="dxa"/>
            <w:tcBorders>
              <w:top w:val="single" w:sz="4" w:space="0" w:color="auto"/>
              <w:left w:val="nil"/>
              <w:bottom w:val="nil"/>
              <w:right w:val="nil"/>
            </w:tcBorders>
            <w:shd w:val="clear" w:color="auto" w:fill="auto"/>
            <w:noWrap/>
            <w:vAlign w:val="center"/>
          </w:tcPr>
          <w:p w14:paraId="1DFBF49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0.71</w:t>
            </w:r>
          </w:p>
        </w:tc>
        <w:tc>
          <w:tcPr>
            <w:tcW w:w="876" w:type="dxa"/>
            <w:tcBorders>
              <w:top w:val="single" w:sz="4" w:space="0" w:color="auto"/>
              <w:left w:val="nil"/>
              <w:bottom w:val="nil"/>
              <w:right w:val="nil"/>
            </w:tcBorders>
            <w:shd w:val="clear" w:color="auto" w:fill="auto"/>
            <w:noWrap/>
            <w:vAlign w:val="center"/>
          </w:tcPr>
          <w:p w14:paraId="65E3B30D"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0.55</w:t>
            </w:r>
          </w:p>
        </w:tc>
      </w:tr>
      <w:tr w:rsidR="00011E48" w:rsidRPr="00011E48" w14:paraId="376A8D56" w14:textId="77777777" w:rsidTr="00AA4B54">
        <w:trPr>
          <w:trHeight w:val="332"/>
          <w:jc w:val="center"/>
        </w:trPr>
        <w:tc>
          <w:tcPr>
            <w:tcW w:w="1704" w:type="dxa"/>
            <w:vMerge/>
            <w:tcBorders>
              <w:right w:val="single" w:sz="4" w:space="0" w:color="auto"/>
            </w:tcBorders>
            <w:vAlign w:val="center"/>
          </w:tcPr>
          <w:p w14:paraId="4C3A1025"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1847" w:type="dxa"/>
            <w:tcBorders>
              <w:right w:val="single" w:sz="4" w:space="0" w:color="auto"/>
            </w:tcBorders>
            <w:shd w:val="clear" w:color="auto" w:fill="auto"/>
            <w:noWrap/>
            <w:vAlign w:val="center"/>
            <w:hideMark/>
          </w:tcPr>
          <w:p w14:paraId="6A8A36A0"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roofErr w:type="spellStart"/>
            <w:r w:rsidRPr="00011E48">
              <w:rPr>
                <w:rFonts w:ascii="Times New Roman" w:eastAsia="맑은 고딕" w:hAnsi="Times New Roman" w:cs="Times New Roman"/>
                <w:color w:val="000000"/>
                <w:kern w:val="0"/>
                <w:szCs w:val="24"/>
                <w:lang w:val="en-GB" w:eastAsia="de-DE"/>
              </w:rPr>
              <w:t>Hybrid_NOx</w:t>
            </w:r>
            <w:proofErr w:type="spellEnd"/>
          </w:p>
        </w:tc>
        <w:tc>
          <w:tcPr>
            <w:tcW w:w="875" w:type="dxa"/>
            <w:vMerge/>
            <w:tcBorders>
              <w:top w:val="nil"/>
              <w:left w:val="single" w:sz="4" w:space="0" w:color="auto"/>
              <w:bottom w:val="nil"/>
            </w:tcBorders>
            <w:shd w:val="clear" w:color="auto" w:fill="auto"/>
            <w:noWrap/>
            <w:vAlign w:val="center"/>
            <w:hideMark/>
          </w:tcPr>
          <w:p w14:paraId="535E9A80"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875" w:type="dxa"/>
            <w:tcBorders>
              <w:top w:val="nil"/>
              <w:left w:val="nil"/>
              <w:bottom w:val="nil"/>
              <w:right w:val="nil"/>
            </w:tcBorders>
            <w:shd w:val="clear" w:color="auto" w:fill="auto"/>
            <w:noWrap/>
            <w:vAlign w:val="center"/>
          </w:tcPr>
          <w:p w14:paraId="6F59FC6F"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43.74</w:t>
            </w:r>
          </w:p>
        </w:tc>
        <w:tc>
          <w:tcPr>
            <w:tcW w:w="876" w:type="dxa"/>
            <w:tcBorders>
              <w:top w:val="nil"/>
              <w:left w:val="nil"/>
              <w:bottom w:val="nil"/>
              <w:right w:val="nil"/>
            </w:tcBorders>
            <w:shd w:val="clear" w:color="auto" w:fill="auto"/>
            <w:noWrap/>
            <w:vAlign w:val="center"/>
          </w:tcPr>
          <w:p w14:paraId="6A3629A7"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-0.74</w:t>
            </w:r>
          </w:p>
        </w:tc>
        <w:tc>
          <w:tcPr>
            <w:tcW w:w="875" w:type="dxa"/>
            <w:tcBorders>
              <w:top w:val="nil"/>
              <w:left w:val="nil"/>
              <w:bottom w:val="nil"/>
              <w:right w:val="nil"/>
            </w:tcBorders>
            <w:shd w:val="clear" w:color="auto" w:fill="auto"/>
            <w:noWrap/>
            <w:vAlign w:val="center"/>
          </w:tcPr>
          <w:p w14:paraId="3AE8EB45"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12.84</w:t>
            </w:r>
          </w:p>
        </w:tc>
        <w:tc>
          <w:tcPr>
            <w:tcW w:w="875" w:type="dxa"/>
            <w:tcBorders>
              <w:top w:val="nil"/>
              <w:left w:val="nil"/>
              <w:bottom w:val="nil"/>
              <w:right w:val="nil"/>
            </w:tcBorders>
            <w:shd w:val="clear" w:color="auto" w:fill="auto"/>
            <w:noWrap/>
            <w:vAlign w:val="center"/>
          </w:tcPr>
          <w:p w14:paraId="14969CB9"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0.80</w:t>
            </w:r>
          </w:p>
        </w:tc>
        <w:tc>
          <w:tcPr>
            <w:tcW w:w="876" w:type="dxa"/>
            <w:tcBorders>
              <w:top w:val="nil"/>
              <w:left w:val="nil"/>
              <w:bottom w:val="nil"/>
              <w:right w:val="nil"/>
            </w:tcBorders>
            <w:shd w:val="clear" w:color="auto" w:fill="auto"/>
            <w:noWrap/>
            <w:vAlign w:val="center"/>
          </w:tcPr>
          <w:p w14:paraId="710712D6"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0.70</w:t>
            </w:r>
          </w:p>
        </w:tc>
      </w:tr>
      <w:tr w:rsidR="00011E48" w:rsidRPr="00011E48" w14:paraId="443D6923" w14:textId="77777777" w:rsidTr="00AA4B54">
        <w:trPr>
          <w:trHeight w:val="332"/>
          <w:jc w:val="center"/>
        </w:trPr>
        <w:tc>
          <w:tcPr>
            <w:tcW w:w="1704" w:type="dxa"/>
            <w:vMerge/>
            <w:tcBorders>
              <w:bottom w:val="single" w:sz="4" w:space="0" w:color="auto"/>
              <w:right w:val="single" w:sz="4" w:space="0" w:color="auto"/>
            </w:tcBorders>
            <w:vAlign w:val="center"/>
          </w:tcPr>
          <w:p w14:paraId="0DBCDDCF"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1847" w:type="dxa"/>
            <w:tcBorders>
              <w:bottom w:val="single" w:sz="4" w:space="0" w:color="auto"/>
              <w:right w:val="single" w:sz="4" w:space="0" w:color="auto"/>
            </w:tcBorders>
            <w:shd w:val="clear" w:color="auto" w:fill="auto"/>
            <w:noWrap/>
            <w:vAlign w:val="center"/>
            <w:hideMark/>
          </w:tcPr>
          <w:p w14:paraId="2195FF34"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roofErr w:type="spellStart"/>
            <w:r w:rsidRPr="00011E48">
              <w:rPr>
                <w:rFonts w:ascii="Times New Roman" w:eastAsia="맑은 고딕" w:hAnsi="Times New Roman" w:cs="Times New Roman"/>
                <w:color w:val="000000"/>
                <w:kern w:val="0"/>
                <w:szCs w:val="24"/>
                <w:lang w:val="en-GB" w:eastAsia="de-DE"/>
              </w:rPr>
              <w:t>Hybrid_NOx+VOC</w:t>
            </w:r>
            <w:proofErr w:type="spellEnd"/>
          </w:p>
        </w:tc>
        <w:tc>
          <w:tcPr>
            <w:tcW w:w="875" w:type="dxa"/>
            <w:vMerge/>
            <w:tcBorders>
              <w:top w:val="nil"/>
              <w:left w:val="single" w:sz="4" w:space="0" w:color="auto"/>
              <w:bottom w:val="single" w:sz="4" w:space="0" w:color="auto"/>
            </w:tcBorders>
            <w:shd w:val="clear" w:color="auto" w:fill="auto"/>
            <w:noWrap/>
            <w:vAlign w:val="center"/>
            <w:hideMark/>
          </w:tcPr>
          <w:p w14:paraId="126C3FCA"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875" w:type="dxa"/>
            <w:tcBorders>
              <w:top w:val="nil"/>
              <w:left w:val="nil"/>
              <w:bottom w:val="single" w:sz="4" w:space="0" w:color="auto"/>
              <w:right w:val="nil"/>
            </w:tcBorders>
            <w:shd w:val="clear" w:color="auto" w:fill="auto"/>
            <w:noWrap/>
            <w:vAlign w:val="center"/>
          </w:tcPr>
          <w:p w14:paraId="5DD7F050"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44.72</w:t>
            </w:r>
          </w:p>
        </w:tc>
        <w:tc>
          <w:tcPr>
            <w:tcW w:w="876" w:type="dxa"/>
            <w:tcBorders>
              <w:top w:val="nil"/>
              <w:left w:val="nil"/>
              <w:bottom w:val="single" w:sz="4" w:space="0" w:color="auto"/>
              <w:right w:val="nil"/>
            </w:tcBorders>
            <w:shd w:val="clear" w:color="auto" w:fill="auto"/>
            <w:noWrap/>
            <w:vAlign w:val="center"/>
          </w:tcPr>
          <w:p w14:paraId="402B154A"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0.24</w:t>
            </w:r>
          </w:p>
        </w:tc>
        <w:tc>
          <w:tcPr>
            <w:tcW w:w="875" w:type="dxa"/>
            <w:tcBorders>
              <w:top w:val="nil"/>
              <w:left w:val="nil"/>
              <w:bottom w:val="single" w:sz="4" w:space="0" w:color="auto"/>
              <w:right w:val="nil"/>
            </w:tcBorders>
            <w:shd w:val="clear" w:color="auto" w:fill="auto"/>
            <w:noWrap/>
            <w:vAlign w:val="center"/>
          </w:tcPr>
          <w:p w14:paraId="4FDC84C2"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12.34</w:t>
            </w:r>
          </w:p>
        </w:tc>
        <w:tc>
          <w:tcPr>
            <w:tcW w:w="875" w:type="dxa"/>
            <w:tcBorders>
              <w:top w:val="nil"/>
              <w:left w:val="nil"/>
              <w:bottom w:val="single" w:sz="4" w:space="0" w:color="auto"/>
              <w:right w:val="nil"/>
            </w:tcBorders>
            <w:shd w:val="clear" w:color="auto" w:fill="auto"/>
            <w:noWrap/>
            <w:vAlign w:val="center"/>
          </w:tcPr>
          <w:p w14:paraId="59DDEE40"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0.83</w:t>
            </w:r>
          </w:p>
        </w:tc>
        <w:tc>
          <w:tcPr>
            <w:tcW w:w="876" w:type="dxa"/>
            <w:tcBorders>
              <w:top w:val="nil"/>
              <w:left w:val="nil"/>
              <w:bottom w:val="single" w:sz="4" w:space="0" w:color="auto"/>
              <w:right w:val="nil"/>
            </w:tcBorders>
            <w:shd w:val="clear" w:color="auto" w:fill="auto"/>
            <w:noWrap/>
            <w:vAlign w:val="center"/>
          </w:tcPr>
          <w:p w14:paraId="3209FD0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0.73</w:t>
            </w:r>
          </w:p>
        </w:tc>
      </w:tr>
      <w:tr w:rsidR="00011E48" w:rsidRPr="00011E48" w14:paraId="34A420F1" w14:textId="77777777" w:rsidTr="00AA4B54">
        <w:trPr>
          <w:trHeight w:val="332"/>
          <w:jc w:val="center"/>
        </w:trPr>
        <w:tc>
          <w:tcPr>
            <w:tcW w:w="1704" w:type="dxa"/>
            <w:vMerge w:val="restart"/>
            <w:tcBorders>
              <w:top w:val="single" w:sz="4" w:space="0" w:color="auto"/>
              <w:right w:val="single" w:sz="4" w:space="0" w:color="auto"/>
            </w:tcBorders>
            <w:vAlign w:val="center"/>
          </w:tcPr>
          <w:p w14:paraId="02F72AE7"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kern w:val="0"/>
                <w:szCs w:val="24"/>
                <w:lang w:val="en-GB"/>
              </w:rPr>
            </w:pPr>
            <w:r w:rsidRPr="00011E48">
              <w:rPr>
                <w:rFonts w:ascii="Times New Roman" w:eastAsia="맑은 고딕" w:hAnsi="Times New Roman" w:cs="Times New Roman"/>
                <w:kern w:val="0"/>
                <w:szCs w:val="24"/>
                <w:lang w:val="en-GB"/>
              </w:rPr>
              <w:t>Pandora</w:t>
            </w:r>
          </w:p>
          <w:p w14:paraId="5F358275"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4"/>
                <w:lang w:val="en-GB" w:eastAsia="de-DE"/>
              </w:rPr>
            </w:pPr>
            <w:r w:rsidRPr="00011E48">
              <w:rPr>
                <w:rFonts w:ascii="Times New Roman" w:eastAsia="맑은 고딕" w:hAnsi="Times New Roman" w:cs="Times New Roman"/>
                <w:kern w:val="0"/>
                <w:szCs w:val="24"/>
                <w:lang w:val="en-GB"/>
              </w:rPr>
              <w:t>NO</w:t>
            </w:r>
            <w:r w:rsidRPr="00011E48">
              <w:rPr>
                <w:rFonts w:ascii="Times New Roman" w:eastAsia="맑은 고딕" w:hAnsi="Times New Roman" w:cs="Times New Roman"/>
                <w:kern w:val="0"/>
                <w:szCs w:val="24"/>
                <w:vertAlign w:val="subscript"/>
                <w:lang w:val="en-GB"/>
              </w:rPr>
              <w:t>2</w:t>
            </w:r>
            <w:r w:rsidRPr="00011E48">
              <w:rPr>
                <w:rFonts w:ascii="맑은 고딕" w:eastAsia="맑은 고딕" w:hAnsi="맑은 고딕" w:cs="맑은 고딕"/>
                <w:kern w:val="0"/>
                <w:szCs w:val="24"/>
                <w:lang w:val="en-GB"/>
              </w:rPr>
              <w:t xml:space="preserve"> </w:t>
            </w:r>
            <w:r w:rsidRPr="00011E48">
              <w:rPr>
                <w:rFonts w:ascii="Times New Roman" w:eastAsia="Times New Roman" w:hAnsi="Times New Roman" w:cs="Times New Roman"/>
                <w:kern w:val="0"/>
                <w:szCs w:val="24"/>
                <w:lang w:val="en-GB" w:eastAsia="de-DE"/>
              </w:rPr>
              <w:t>VCD</w:t>
            </w:r>
          </w:p>
          <w:p w14:paraId="22DAB898"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[10</w:t>
            </w:r>
            <w:r w:rsidRPr="00011E48">
              <w:rPr>
                <w:rFonts w:ascii="Times New Roman" w:eastAsia="맑은 고딕" w:hAnsi="Times New Roman" w:cs="Times New Roman"/>
                <w:color w:val="000000"/>
                <w:kern w:val="0"/>
                <w:szCs w:val="24"/>
                <w:vertAlign w:val="superscript"/>
                <w:lang w:val="en-GB" w:eastAsia="de-DE"/>
              </w:rPr>
              <w:t>15</w:t>
            </w:r>
            <w:r w:rsidRPr="00011E48">
              <w:rPr>
                <w:rFonts w:ascii="Times New Roman" w:eastAsia="맑은 고딕" w:hAnsi="Times New Roman" w:cs="Times New Roman"/>
                <w:color w:val="000000"/>
                <w:kern w:val="0"/>
                <w:szCs w:val="24"/>
                <w:lang w:val="en-GB" w:eastAsia="de-DE"/>
              </w:rPr>
              <w:t xml:space="preserve"> </w:t>
            </w:r>
            <w:proofErr w:type="spellStart"/>
            <w:r w:rsidRPr="00011E48">
              <w:rPr>
                <w:rFonts w:ascii="Times New Roman" w:eastAsia="맑은 고딕" w:hAnsi="Times New Roman" w:cs="Times New Roman"/>
                <w:color w:val="000000"/>
                <w:kern w:val="0"/>
                <w:szCs w:val="24"/>
                <w:lang w:val="en-GB" w:eastAsia="de-DE"/>
              </w:rPr>
              <w:t>molec</w:t>
            </w:r>
            <w:proofErr w:type="spellEnd"/>
            <w:r w:rsidRPr="00011E48">
              <w:rPr>
                <w:rFonts w:ascii="Times New Roman" w:eastAsia="맑은 고딕" w:hAnsi="Times New Roman" w:cs="Times New Roman"/>
                <w:color w:val="000000"/>
                <w:kern w:val="0"/>
                <w:szCs w:val="24"/>
                <w:lang w:val="en-GB" w:eastAsia="de-DE"/>
              </w:rPr>
              <w:t xml:space="preserve"> cm</w:t>
            </w:r>
            <w:r w:rsidRPr="00011E48">
              <w:rPr>
                <w:rFonts w:ascii="Times New Roman" w:eastAsia="맑은 고딕" w:hAnsi="Times New Roman" w:cs="Times New Roman"/>
                <w:color w:val="000000"/>
                <w:kern w:val="0"/>
                <w:szCs w:val="24"/>
                <w:vertAlign w:val="superscript"/>
                <w:lang w:val="en-GB" w:eastAsia="de-DE"/>
              </w:rPr>
              <w:t>-2</w:t>
            </w:r>
            <w:r w:rsidRPr="00011E48">
              <w:rPr>
                <w:rFonts w:ascii="Times New Roman" w:eastAsia="맑은 고딕" w:hAnsi="Times New Roman" w:cs="Times New Roman"/>
                <w:color w:val="000000"/>
                <w:kern w:val="0"/>
                <w:szCs w:val="24"/>
                <w:lang w:val="en-GB" w:eastAsia="de-DE"/>
              </w:rPr>
              <w:t>]</w:t>
            </w:r>
          </w:p>
        </w:tc>
        <w:tc>
          <w:tcPr>
            <w:tcW w:w="1847" w:type="dxa"/>
            <w:tcBorders>
              <w:top w:val="single" w:sz="4" w:space="0" w:color="auto"/>
              <w:left w:val="single" w:sz="4" w:space="0" w:color="auto"/>
              <w:bottom w:val="nil"/>
              <w:right w:val="single" w:sz="4" w:space="0" w:color="auto"/>
            </w:tcBorders>
            <w:shd w:val="clear" w:color="auto" w:fill="auto"/>
            <w:noWrap/>
            <w:vAlign w:val="center"/>
          </w:tcPr>
          <w:p w14:paraId="3BE873E3"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Prior</w:t>
            </w:r>
          </w:p>
        </w:tc>
        <w:tc>
          <w:tcPr>
            <w:tcW w:w="875" w:type="dxa"/>
            <w:vMerge w:val="restart"/>
            <w:tcBorders>
              <w:top w:val="single" w:sz="4" w:space="0" w:color="auto"/>
              <w:left w:val="single" w:sz="4" w:space="0" w:color="auto"/>
              <w:right w:val="nil"/>
            </w:tcBorders>
            <w:shd w:val="clear" w:color="auto" w:fill="auto"/>
            <w:noWrap/>
            <w:vAlign w:val="center"/>
          </w:tcPr>
          <w:p w14:paraId="5FB2AF0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13.01</w:t>
            </w:r>
          </w:p>
        </w:tc>
        <w:tc>
          <w:tcPr>
            <w:tcW w:w="875" w:type="dxa"/>
            <w:tcBorders>
              <w:top w:val="nil"/>
              <w:left w:val="nil"/>
              <w:bottom w:val="nil"/>
              <w:right w:val="nil"/>
            </w:tcBorders>
            <w:shd w:val="clear" w:color="auto" w:fill="auto"/>
            <w:noWrap/>
            <w:vAlign w:val="center"/>
          </w:tcPr>
          <w:p w14:paraId="64F22232"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12.11</w:t>
            </w:r>
          </w:p>
        </w:tc>
        <w:tc>
          <w:tcPr>
            <w:tcW w:w="876" w:type="dxa"/>
            <w:tcBorders>
              <w:top w:val="nil"/>
              <w:left w:val="nil"/>
              <w:bottom w:val="nil"/>
              <w:right w:val="nil"/>
            </w:tcBorders>
            <w:shd w:val="clear" w:color="auto" w:fill="auto"/>
            <w:noWrap/>
            <w:vAlign w:val="center"/>
          </w:tcPr>
          <w:p w14:paraId="3816B2E7"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-0.91</w:t>
            </w:r>
          </w:p>
        </w:tc>
        <w:tc>
          <w:tcPr>
            <w:tcW w:w="875" w:type="dxa"/>
            <w:tcBorders>
              <w:top w:val="nil"/>
              <w:left w:val="nil"/>
              <w:bottom w:val="nil"/>
              <w:right w:val="nil"/>
            </w:tcBorders>
            <w:shd w:val="clear" w:color="auto" w:fill="auto"/>
            <w:noWrap/>
            <w:vAlign w:val="center"/>
          </w:tcPr>
          <w:p w14:paraId="59DA207B"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8.81</w:t>
            </w:r>
          </w:p>
        </w:tc>
        <w:tc>
          <w:tcPr>
            <w:tcW w:w="875" w:type="dxa"/>
            <w:tcBorders>
              <w:top w:val="nil"/>
              <w:left w:val="nil"/>
              <w:bottom w:val="nil"/>
              <w:right w:val="nil"/>
            </w:tcBorders>
            <w:shd w:val="clear" w:color="auto" w:fill="auto"/>
            <w:noWrap/>
            <w:vAlign w:val="center"/>
          </w:tcPr>
          <w:p w14:paraId="201D0359"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0.74</w:t>
            </w:r>
          </w:p>
        </w:tc>
        <w:tc>
          <w:tcPr>
            <w:tcW w:w="876" w:type="dxa"/>
            <w:tcBorders>
              <w:top w:val="nil"/>
              <w:left w:val="nil"/>
              <w:bottom w:val="nil"/>
              <w:right w:val="nil"/>
            </w:tcBorders>
            <w:shd w:val="clear" w:color="auto" w:fill="auto"/>
            <w:noWrap/>
            <w:vAlign w:val="center"/>
          </w:tcPr>
          <w:p w14:paraId="1416400E"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0.66</w:t>
            </w:r>
          </w:p>
        </w:tc>
      </w:tr>
      <w:tr w:rsidR="00011E48" w:rsidRPr="00011E48" w14:paraId="02A5C0CE" w14:textId="77777777" w:rsidTr="00AA4B54">
        <w:trPr>
          <w:trHeight w:val="332"/>
          <w:jc w:val="center"/>
        </w:trPr>
        <w:tc>
          <w:tcPr>
            <w:tcW w:w="1704" w:type="dxa"/>
            <w:vMerge/>
            <w:tcBorders>
              <w:right w:val="single" w:sz="4" w:space="0" w:color="auto"/>
            </w:tcBorders>
            <w:vAlign w:val="center"/>
          </w:tcPr>
          <w:p w14:paraId="17909ECF"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1847" w:type="dxa"/>
            <w:tcBorders>
              <w:top w:val="nil"/>
              <w:left w:val="single" w:sz="4" w:space="0" w:color="auto"/>
              <w:bottom w:val="nil"/>
              <w:right w:val="single" w:sz="4" w:space="0" w:color="auto"/>
            </w:tcBorders>
            <w:shd w:val="clear" w:color="auto" w:fill="auto"/>
            <w:noWrap/>
            <w:vAlign w:val="center"/>
          </w:tcPr>
          <w:p w14:paraId="22293C33"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roofErr w:type="spellStart"/>
            <w:r w:rsidRPr="00011E48">
              <w:rPr>
                <w:rFonts w:ascii="Times New Roman" w:eastAsia="맑은 고딕" w:hAnsi="Times New Roman" w:cs="Times New Roman"/>
                <w:color w:val="000000"/>
                <w:kern w:val="0"/>
                <w:szCs w:val="24"/>
                <w:lang w:val="en-GB" w:eastAsia="de-DE"/>
              </w:rPr>
              <w:t>Hybrid_NOx</w:t>
            </w:r>
            <w:proofErr w:type="spellEnd"/>
          </w:p>
        </w:tc>
        <w:tc>
          <w:tcPr>
            <w:tcW w:w="875" w:type="dxa"/>
            <w:vMerge/>
            <w:tcBorders>
              <w:left w:val="single" w:sz="4" w:space="0" w:color="auto"/>
              <w:right w:val="nil"/>
            </w:tcBorders>
            <w:shd w:val="clear" w:color="auto" w:fill="auto"/>
            <w:noWrap/>
            <w:vAlign w:val="center"/>
          </w:tcPr>
          <w:p w14:paraId="22F73191"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875" w:type="dxa"/>
            <w:tcBorders>
              <w:top w:val="nil"/>
              <w:left w:val="nil"/>
              <w:bottom w:val="nil"/>
              <w:right w:val="nil"/>
            </w:tcBorders>
            <w:shd w:val="clear" w:color="auto" w:fill="auto"/>
            <w:noWrap/>
            <w:vAlign w:val="center"/>
          </w:tcPr>
          <w:p w14:paraId="003554A2"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10.64</w:t>
            </w:r>
          </w:p>
        </w:tc>
        <w:tc>
          <w:tcPr>
            <w:tcW w:w="876" w:type="dxa"/>
            <w:tcBorders>
              <w:top w:val="nil"/>
              <w:left w:val="nil"/>
              <w:bottom w:val="nil"/>
              <w:right w:val="nil"/>
            </w:tcBorders>
            <w:shd w:val="clear" w:color="auto" w:fill="auto"/>
            <w:noWrap/>
            <w:vAlign w:val="center"/>
          </w:tcPr>
          <w:p w14:paraId="18FC6CDF"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-2.38</w:t>
            </w:r>
          </w:p>
        </w:tc>
        <w:tc>
          <w:tcPr>
            <w:tcW w:w="875" w:type="dxa"/>
            <w:tcBorders>
              <w:top w:val="nil"/>
              <w:left w:val="nil"/>
              <w:bottom w:val="nil"/>
              <w:right w:val="nil"/>
            </w:tcBorders>
            <w:shd w:val="clear" w:color="auto" w:fill="auto"/>
            <w:noWrap/>
            <w:vAlign w:val="center"/>
          </w:tcPr>
          <w:p w14:paraId="26E96C53"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8.59</w:t>
            </w:r>
          </w:p>
        </w:tc>
        <w:tc>
          <w:tcPr>
            <w:tcW w:w="875" w:type="dxa"/>
            <w:tcBorders>
              <w:top w:val="nil"/>
              <w:left w:val="nil"/>
              <w:bottom w:val="nil"/>
              <w:right w:val="nil"/>
            </w:tcBorders>
            <w:shd w:val="clear" w:color="auto" w:fill="auto"/>
            <w:noWrap/>
            <w:vAlign w:val="center"/>
          </w:tcPr>
          <w:p w14:paraId="63ED6EAB"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0.73</w:t>
            </w:r>
          </w:p>
        </w:tc>
        <w:tc>
          <w:tcPr>
            <w:tcW w:w="876" w:type="dxa"/>
            <w:tcBorders>
              <w:top w:val="nil"/>
              <w:left w:val="nil"/>
              <w:bottom w:val="nil"/>
              <w:right w:val="nil"/>
            </w:tcBorders>
            <w:shd w:val="clear" w:color="auto" w:fill="auto"/>
            <w:noWrap/>
            <w:vAlign w:val="center"/>
          </w:tcPr>
          <w:p w14:paraId="26BB8338"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0.62</w:t>
            </w:r>
          </w:p>
        </w:tc>
      </w:tr>
      <w:tr w:rsidR="00011E48" w:rsidRPr="00011E48" w14:paraId="734982BB" w14:textId="77777777" w:rsidTr="00AA4B54">
        <w:trPr>
          <w:trHeight w:val="332"/>
          <w:jc w:val="center"/>
        </w:trPr>
        <w:tc>
          <w:tcPr>
            <w:tcW w:w="1704" w:type="dxa"/>
            <w:vMerge/>
            <w:tcBorders>
              <w:bottom w:val="single" w:sz="4" w:space="0" w:color="auto"/>
              <w:right w:val="single" w:sz="4" w:space="0" w:color="auto"/>
            </w:tcBorders>
            <w:vAlign w:val="center"/>
          </w:tcPr>
          <w:p w14:paraId="2BE260ED"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1847" w:type="dxa"/>
            <w:tcBorders>
              <w:top w:val="nil"/>
              <w:left w:val="single" w:sz="4" w:space="0" w:color="auto"/>
              <w:bottom w:val="single" w:sz="4" w:space="0" w:color="auto"/>
              <w:right w:val="single" w:sz="4" w:space="0" w:color="auto"/>
            </w:tcBorders>
            <w:shd w:val="clear" w:color="auto" w:fill="auto"/>
            <w:noWrap/>
            <w:vAlign w:val="center"/>
          </w:tcPr>
          <w:p w14:paraId="26AD1F85"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roofErr w:type="spellStart"/>
            <w:r w:rsidRPr="00011E48">
              <w:rPr>
                <w:rFonts w:ascii="Times New Roman" w:eastAsia="맑은 고딕" w:hAnsi="Times New Roman" w:cs="Times New Roman"/>
                <w:color w:val="000000"/>
                <w:kern w:val="0"/>
                <w:szCs w:val="24"/>
                <w:lang w:val="en-GB" w:eastAsia="de-DE"/>
              </w:rPr>
              <w:t>Hybrid_NOx+VOC</w:t>
            </w:r>
            <w:proofErr w:type="spellEnd"/>
          </w:p>
        </w:tc>
        <w:tc>
          <w:tcPr>
            <w:tcW w:w="875" w:type="dxa"/>
            <w:vMerge/>
            <w:tcBorders>
              <w:left w:val="single" w:sz="4" w:space="0" w:color="auto"/>
              <w:bottom w:val="single" w:sz="4" w:space="0" w:color="auto"/>
              <w:right w:val="nil"/>
            </w:tcBorders>
            <w:shd w:val="clear" w:color="auto" w:fill="auto"/>
            <w:noWrap/>
            <w:vAlign w:val="center"/>
          </w:tcPr>
          <w:p w14:paraId="5A9EFD5E"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875" w:type="dxa"/>
            <w:tcBorders>
              <w:top w:val="nil"/>
              <w:left w:val="nil"/>
              <w:bottom w:val="nil"/>
              <w:right w:val="nil"/>
            </w:tcBorders>
            <w:shd w:val="clear" w:color="auto" w:fill="auto"/>
            <w:noWrap/>
            <w:vAlign w:val="center"/>
          </w:tcPr>
          <w:p w14:paraId="206AE700"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10.70</w:t>
            </w:r>
          </w:p>
        </w:tc>
        <w:tc>
          <w:tcPr>
            <w:tcW w:w="876" w:type="dxa"/>
            <w:tcBorders>
              <w:top w:val="nil"/>
              <w:left w:val="nil"/>
              <w:bottom w:val="nil"/>
              <w:right w:val="nil"/>
            </w:tcBorders>
            <w:shd w:val="clear" w:color="auto" w:fill="auto"/>
            <w:noWrap/>
            <w:vAlign w:val="center"/>
          </w:tcPr>
          <w:p w14:paraId="402CBB66"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-2.31</w:t>
            </w:r>
          </w:p>
        </w:tc>
        <w:tc>
          <w:tcPr>
            <w:tcW w:w="875" w:type="dxa"/>
            <w:tcBorders>
              <w:top w:val="nil"/>
              <w:left w:val="nil"/>
              <w:bottom w:val="nil"/>
              <w:right w:val="nil"/>
            </w:tcBorders>
            <w:shd w:val="clear" w:color="auto" w:fill="auto"/>
            <w:noWrap/>
            <w:vAlign w:val="center"/>
          </w:tcPr>
          <w:p w14:paraId="0F1E0E13"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8.35</w:t>
            </w:r>
          </w:p>
        </w:tc>
        <w:tc>
          <w:tcPr>
            <w:tcW w:w="875" w:type="dxa"/>
            <w:tcBorders>
              <w:top w:val="nil"/>
              <w:left w:val="nil"/>
              <w:bottom w:val="nil"/>
              <w:right w:val="nil"/>
            </w:tcBorders>
            <w:shd w:val="clear" w:color="auto" w:fill="auto"/>
            <w:noWrap/>
            <w:vAlign w:val="center"/>
          </w:tcPr>
          <w:p w14:paraId="0F0EB676"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0.74</w:t>
            </w:r>
          </w:p>
        </w:tc>
        <w:tc>
          <w:tcPr>
            <w:tcW w:w="876" w:type="dxa"/>
            <w:tcBorders>
              <w:top w:val="nil"/>
              <w:left w:val="nil"/>
              <w:bottom w:val="nil"/>
              <w:right w:val="nil"/>
            </w:tcBorders>
            <w:shd w:val="clear" w:color="auto" w:fill="auto"/>
            <w:noWrap/>
            <w:vAlign w:val="center"/>
          </w:tcPr>
          <w:p w14:paraId="427A9240"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011E48">
              <w:rPr>
                <w:rFonts w:ascii="Times New Roman" w:eastAsia="맑은 고딕" w:hAnsi="Times New Roman" w:cs="Times New Roman"/>
                <w:color w:val="000000"/>
                <w:kern w:val="0"/>
                <w:szCs w:val="20"/>
                <w:lang w:val="en-GB" w:eastAsia="de-DE"/>
              </w:rPr>
              <w:t>0.65</w:t>
            </w:r>
          </w:p>
        </w:tc>
      </w:tr>
      <w:tr w:rsidR="00011E48" w:rsidRPr="00011E48" w14:paraId="4C696971" w14:textId="77777777" w:rsidTr="00AA4B54">
        <w:trPr>
          <w:trHeight w:val="332"/>
          <w:jc w:val="center"/>
        </w:trPr>
        <w:tc>
          <w:tcPr>
            <w:tcW w:w="1704" w:type="dxa"/>
            <w:vMerge w:val="restart"/>
            <w:tcBorders>
              <w:top w:val="single" w:sz="4" w:space="0" w:color="auto"/>
              <w:right w:val="single" w:sz="4" w:space="0" w:color="auto"/>
            </w:tcBorders>
            <w:vAlign w:val="center"/>
          </w:tcPr>
          <w:p w14:paraId="662925D6"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kern w:val="0"/>
                <w:szCs w:val="24"/>
                <w:lang w:val="en-GB"/>
              </w:rPr>
            </w:pPr>
            <w:r w:rsidRPr="00011E48">
              <w:rPr>
                <w:rFonts w:ascii="Times New Roman" w:eastAsia="맑은 고딕" w:hAnsi="Times New Roman" w:cs="Times New Roman"/>
                <w:kern w:val="0"/>
                <w:szCs w:val="24"/>
                <w:lang w:val="en-GB"/>
              </w:rPr>
              <w:t>Pandora</w:t>
            </w:r>
          </w:p>
          <w:p w14:paraId="539D5DC7" w14:textId="77777777" w:rsidR="00011E48" w:rsidRPr="00011E48" w:rsidRDefault="00011E48" w:rsidP="00011E48">
            <w:pPr>
              <w:widowControl/>
              <w:wordWrap/>
              <w:autoSpaceDE/>
              <w:autoSpaceDN/>
              <w:spacing w:after="0" w:line="240" w:lineRule="auto"/>
              <w:jc w:val="center"/>
              <w:rPr>
                <w:rFonts w:ascii="Times New Roman" w:eastAsia="Times New Roman" w:hAnsi="Times New Roman" w:cs="Times New Roman"/>
                <w:kern w:val="0"/>
                <w:szCs w:val="24"/>
                <w:lang w:val="en-GB" w:eastAsia="de-DE"/>
              </w:rPr>
            </w:pPr>
            <w:r w:rsidRPr="00011E48">
              <w:rPr>
                <w:rFonts w:ascii="Times New Roman" w:eastAsia="Times New Roman" w:hAnsi="Times New Roman" w:cs="Times New Roman"/>
                <w:kern w:val="0"/>
                <w:szCs w:val="24"/>
                <w:lang w:val="en-GB" w:eastAsia="de-DE"/>
              </w:rPr>
              <w:t>HCHO VCD</w:t>
            </w:r>
          </w:p>
          <w:p w14:paraId="57238FB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[10</w:t>
            </w:r>
            <w:r w:rsidRPr="00011E48">
              <w:rPr>
                <w:rFonts w:ascii="Times New Roman" w:eastAsia="맑은 고딕" w:hAnsi="Times New Roman" w:cs="Times New Roman"/>
                <w:color w:val="000000"/>
                <w:kern w:val="0"/>
                <w:szCs w:val="24"/>
                <w:vertAlign w:val="superscript"/>
                <w:lang w:val="en-GB" w:eastAsia="de-DE"/>
              </w:rPr>
              <w:t>15</w:t>
            </w:r>
            <w:r w:rsidRPr="00011E48">
              <w:rPr>
                <w:rFonts w:ascii="Times New Roman" w:eastAsia="맑은 고딕" w:hAnsi="Times New Roman" w:cs="Times New Roman"/>
                <w:color w:val="000000"/>
                <w:kern w:val="0"/>
                <w:szCs w:val="24"/>
                <w:lang w:val="en-GB" w:eastAsia="de-DE"/>
              </w:rPr>
              <w:t xml:space="preserve"> </w:t>
            </w:r>
            <w:proofErr w:type="spellStart"/>
            <w:r w:rsidRPr="00011E48">
              <w:rPr>
                <w:rFonts w:ascii="Times New Roman" w:eastAsia="맑은 고딕" w:hAnsi="Times New Roman" w:cs="Times New Roman"/>
                <w:color w:val="000000"/>
                <w:kern w:val="0"/>
                <w:szCs w:val="24"/>
                <w:lang w:val="en-GB" w:eastAsia="de-DE"/>
              </w:rPr>
              <w:t>molec</w:t>
            </w:r>
            <w:proofErr w:type="spellEnd"/>
            <w:r w:rsidRPr="00011E48">
              <w:rPr>
                <w:rFonts w:ascii="Times New Roman" w:eastAsia="맑은 고딕" w:hAnsi="Times New Roman" w:cs="Times New Roman"/>
                <w:color w:val="000000"/>
                <w:kern w:val="0"/>
                <w:szCs w:val="24"/>
                <w:lang w:val="en-GB" w:eastAsia="de-DE"/>
              </w:rPr>
              <w:t xml:space="preserve"> cm</w:t>
            </w:r>
            <w:r w:rsidRPr="00011E48">
              <w:rPr>
                <w:rFonts w:ascii="Times New Roman" w:eastAsia="맑은 고딕" w:hAnsi="Times New Roman" w:cs="Times New Roman"/>
                <w:color w:val="000000"/>
                <w:kern w:val="0"/>
                <w:szCs w:val="24"/>
                <w:vertAlign w:val="superscript"/>
                <w:lang w:val="en-GB" w:eastAsia="de-DE"/>
              </w:rPr>
              <w:t>-2</w:t>
            </w:r>
            <w:r w:rsidRPr="00011E48">
              <w:rPr>
                <w:rFonts w:ascii="Times New Roman" w:eastAsia="맑은 고딕" w:hAnsi="Times New Roman" w:cs="Times New Roman"/>
                <w:color w:val="000000"/>
                <w:kern w:val="0"/>
                <w:szCs w:val="24"/>
                <w:lang w:val="en-GB" w:eastAsia="de-DE"/>
              </w:rPr>
              <w:t>]</w:t>
            </w:r>
          </w:p>
        </w:tc>
        <w:tc>
          <w:tcPr>
            <w:tcW w:w="1847" w:type="dxa"/>
            <w:tcBorders>
              <w:top w:val="single" w:sz="4" w:space="0" w:color="auto"/>
              <w:right w:val="single" w:sz="4" w:space="0" w:color="auto"/>
            </w:tcBorders>
            <w:shd w:val="clear" w:color="auto" w:fill="auto"/>
            <w:noWrap/>
            <w:vAlign w:val="center"/>
            <w:hideMark/>
          </w:tcPr>
          <w:p w14:paraId="0A4DDD1E"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Prior</w:t>
            </w:r>
          </w:p>
        </w:tc>
        <w:tc>
          <w:tcPr>
            <w:tcW w:w="875" w:type="dxa"/>
            <w:vMerge w:val="restart"/>
            <w:tcBorders>
              <w:top w:val="single" w:sz="4" w:space="0" w:color="auto"/>
              <w:left w:val="single" w:sz="4" w:space="0" w:color="auto"/>
            </w:tcBorders>
            <w:shd w:val="clear" w:color="auto" w:fill="auto"/>
            <w:noWrap/>
            <w:vAlign w:val="center"/>
            <w:hideMark/>
          </w:tcPr>
          <w:p w14:paraId="682875C1"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맑은 고딕" w:hAnsi="Times New Roman" w:cs="Times New Roman"/>
                <w:color w:val="000000"/>
                <w:kern w:val="0"/>
                <w:szCs w:val="24"/>
                <w:lang w:val="en-GB" w:eastAsia="de-DE"/>
              </w:rPr>
              <w:t>7.06</w:t>
            </w:r>
          </w:p>
        </w:tc>
        <w:tc>
          <w:tcPr>
            <w:tcW w:w="875" w:type="dxa"/>
            <w:tcBorders>
              <w:top w:val="single" w:sz="4" w:space="0" w:color="auto"/>
            </w:tcBorders>
            <w:shd w:val="clear" w:color="auto" w:fill="auto"/>
            <w:noWrap/>
            <w:vAlign w:val="center"/>
            <w:hideMark/>
          </w:tcPr>
          <w:p w14:paraId="733A4D3E"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4.59</w:t>
            </w:r>
          </w:p>
        </w:tc>
        <w:tc>
          <w:tcPr>
            <w:tcW w:w="876" w:type="dxa"/>
            <w:tcBorders>
              <w:top w:val="single" w:sz="4" w:space="0" w:color="auto"/>
            </w:tcBorders>
            <w:shd w:val="clear" w:color="auto" w:fill="auto"/>
            <w:noWrap/>
            <w:vAlign w:val="center"/>
            <w:hideMark/>
          </w:tcPr>
          <w:p w14:paraId="1EB24574"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-2.47</w:t>
            </w:r>
          </w:p>
        </w:tc>
        <w:tc>
          <w:tcPr>
            <w:tcW w:w="875" w:type="dxa"/>
            <w:tcBorders>
              <w:top w:val="single" w:sz="4" w:space="0" w:color="auto"/>
            </w:tcBorders>
            <w:shd w:val="clear" w:color="auto" w:fill="auto"/>
            <w:noWrap/>
            <w:vAlign w:val="center"/>
            <w:hideMark/>
          </w:tcPr>
          <w:p w14:paraId="381F256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4.40</w:t>
            </w:r>
          </w:p>
        </w:tc>
        <w:tc>
          <w:tcPr>
            <w:tcW w:w="875" w:type="dxa"/>
            <w:tcBorders>
              <w:top w:val="single" w:sz="4" w:space="0" w:color="auto"/>
            </w:tcBorders>
            <w:shd w:val="clear" w:color="auto" w:fill="auto"/>
            <w:noWrap/>
            <w:vAlign w:val="center"/>
            <w:hideMark/>
          </w:tcPr>
          <w:p w14:paraId="1DEB4F24"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0.54</w:t>
            </w:r>
          </w:p>
        </w:tc>
        <w:tc>
          <w:tcPr>
            <w:tcW w:w="876" w:type="dxa"/>
            <w:tcBorders>
              <w:top w:val="single" w:sz="4" w:space="0" w:color="auto"/>
            </w:tcBorders>
            <w:shd w:val="clear" w:color="auto" w:fill="auto"/>
            <w:noWrap/>
            <w:vAlign w:val="center"/>
            <w:hideMark/>
          </w:tcPr>
          <w:p w14:paraId="6747E6AD"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0.52</w:t>
            </w:r>
          </w:p>
        </w:tc>
      </w:tr>
      <w:tr w:rsidR="00011E48" w:rsidRPr="00011E48" w14:paraId="39EB31DC" w14:textId="77777777" w:rsidTr="00AA4B54">
        <w:trPr>
          <w:trHeight w:val="232"/>
          <w:jc w:val="center"/>
        </w:trPr>
        <w:tc>
          <w:tcPr>
            <w:tcW w:w="1704" w:type="dxa"/>
            <w:vMerge/>
            <w:tcBorders>
              <w:right w:val="single" w:sz="4" w:space="0" w:color="auto"/>
            </w:tcBorders>
            <w:vAlign w:val="center"/>
          </w:tcPr>
          <w:p w14:paraId="02FEF1CA"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1847" w:type="dxa"/>
            <w:tcBorders>
              <w:right w:val="single" w:sz="4" w:space="0" w:color="auto"/>
            </w:tcBorders>
            <w:shd w:val="clear" w:color="auto" w:fill="auto"/>
            <w:noWrap/>
            <w:vAlign w:val="center"/>
            <w:hideMark/>
          </w:tcPr>
          <w:p w14:paraId="098E8EC7"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roofErr w:type="spellStart"/>
            <w:r w:rsidRPr="00011E48">
              <w:rPr>
                <w:rFonts w:ascii="Times New Roman" w:eastAsia="맑은 고딕" w:hAnsi="Times New Roman" w:cs="Times New Roman"/>
                <w:color w:val="000000"/>
                <w:kern w:val="0"/>
                <w:szCs w:val="24"/>
                <w:lang w:val="en-GB" w:eastAsia="de-DE"/>
              </w:rPr>
              <w:t>Hybrid_NOx</w:t>
            </w:r>
            <w:proofErr w:type="spellEnd"/>
          </w:p>
        </w:tc>
        <w:tc>
          <w:tcPr>
            <w:tcW w:w="875" w:type="dxa"/>
            <w:vMerge/>
            <w:tcBorders>
              <w:left w:val="single" w:sz="4" w:space="0" w:color="auto"/>
            </w:tcBorders>
            <w:shd w:val="clear" w:color="auto" w:fill="auto"/>
            <w:noWrap/>
            <w:vAlign w:val="center"/>
            <w:hideMark/>
          </w:tcPr>
          <w:p w14:paraId="3D082B35"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875" w:type="dxa"/>
            <w:shd w:val="clear" w:color="auto" w:fill="auto"/>
            <w:noWrap/>
            <w:vAlign w:val="center"/>
            <w:hideMark/>
          </w:tcPr>
          <w:p w14:paraId="7D6E6296"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4.61</w:t>
            </w:r>
          </w:p>
        </w:tc>
        <w:tc>
          <w:tcPr>
            <w:tcW w:w="876" w:type="dxa"/>
            <w:shd w:val="clear" w:color="auto" w:fill="auto"/>
            <w:noWrap/>
            <w:vAlign w:val="center"/>
            <w:hideMark/>
          </w:tcPr>
          <w:p w14:paraId="0EC91D51"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-2.45</w:t>
            </w:r>
          </w:p>
        </w:tc>
        <w:tc>
          <w:tcPr>
            <w:tcW w:w="875" w:type="dxa"/>
            <w:shd w:val="clear" w:color="auto" w:fill="auto"/>
            <w:noWrap/>
            <w:vAlign w:val="center"/>
            <w:hideMark/>
          </w:tcPr>
          <w:p w14:paraId="5476539D"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4.36</w:t>
            </w:r>
          </w:p>
        </w:tc>
        <w:tc>
          <w:tcPr>
            <w:tcW w:w="875" w:type="dxa"/>
            <w:shd w:val="clear" w:color="auto" w:fill="auto"/>
            <w:noWrap/>
            <w:vAlign w:val="center"/>
            <w:hideMark/>
          </w:tcPr>
          <w:p w14:paraId="5A7287CC"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0.55</w:t>
            </w:r>
          </w:p>
        </w:tc>
        <w:tc>
          <w:tcPr>
            <w:tcW w:w="876" w:type="dxa"/>
            <w:shd w:val="clear" w:color="auto" w:fill="auto"/>
            <w:noWrap/>
            <w:vAlign w:val="center"/>
            <w:hideMark/>
          </w:tcPr>
          <w:p w14:paraId="76D08E2C"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0.53</w:t>
            </w:r>
          </w:p>
        </w:tc>
      </w:tr>
      <w:tr w:rsidR="00011E48" w:rsidRPr="00011E48" w14:paraId="0EE8C851" w14:textId="77777777" w:rsidTr="00AA4B54">
        <w:trPr>
          <w:trHeight w:val="332"/>
          <w:jc w:val="center"/>
        </w:trPr>
        <w:tc>
          <w:tcPr>
            <w:tcW w:w="1704" w:type="dxa"/>
            <w:vMerge/>
            <w:tcBorders>
              <w:right w:val="single" w:sz="4" w:space="0" w:color="auto"/>
            </w:tcBorders>
            <w:vAlign w:val="center"/>
          </w:tcPr>
          <w:p w14:paraId="0EE492C7"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1847" w:type="dxa"/>
            <w:tcBorders>
              <w:right w:val="single" w:sz="4" w:space="0" w:color="auto"/>
            </w:tcBorders>
            <w:shd w:val="clear" w:color="auto" w:fill="auto"/>
            <w:noWrap/>
            <w:vAlign w:val="center"/>
            <w:hideMark/>
          </w:tcPr>
          <w:p w14:paraId="71DF8533"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roofErr w:type="spellStart"/>
            <w:r w:rsidRPr="00011E48">
              <w:rPr>
                <w:rFonts w:ascii="Times New Roman" w:eastAsia="맑은 고딕" w:hAnsi="Times New Roman" w:cs="Times New Roman"/>
                <w:color w:val="000000"/>
                <w:kern w:val="0"/>
                <w:szCs w:val="24"/>
                <w:lang w:val="en-GB" w:eastAsia="de-DE"/>
              </w:rPr>
              <w:t>Hybrid_NOx+VOC</w:t>
            </w:r>
            <w:proofErr w:type="spellEnd"/>
          </w:p>
        </w:tc>
        <w:tc>
          <w:tcPr>
            <w:tcW w:w="875" w:type="dxa"/>
            <w:vMerge/>
            <w:tcBorders>
              <w:left w:val="single" w:sz="4" w:space="0" w:color="auto"/>
            </w:tcBorders>
            <w:shd w:val="clear" w:color="auto" w:fill="auto"/>
            <w:noWrap/>
            <w:vAlign w:val="center"/>
            <w:hideMark/>
          </w:tcPr>
          <w:p w14:paraId="2705FC7A"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p>
        </w:tc>
        <w:tc>
          <w:tcPr>
            <w:tcW w:w="875" w:type="dxa"/>
            <w:shd w:val="clear" w:color="auto" w:fill="auto"/>
            <w:noWrap/>
            <w:vAlign w:val="center"/>
            <w:hideMark/>
          </w:tcPr>
          <w:p w14:paraId="2BB38D0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5.85</w:t>
            </w:r>
          </w:p>
        </w:tc>
        <w:tc>
          <w:tcPr>
            <w:tcW w:w="876" w:type="dxa"/>
            <w:shd w:val="clear" w:color="auto" w:fill="auto"/>
            <w:noWrap/>
            <w:vAlign w:val="center"/>
            <w:hideMark/>
          </w:tcPr>
          <w:p w14:paraId="2236A5BB"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-1.22</w:t>
            </w:r>
          </w:p>
        </w:tc>
        <w:tc>
          <w:tcPr>
            <w:tcW w:w="875" w:type="dxa"/>
            <w:shd w:val="clear" w:color="auto" w:fill="auto"/>
            <w:noWrap/>
            <w:vAlign w:val="center"/>
            <w:hideMark/>
          </w:tcPr>
          <w:p w14:paraId="2580BC65"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3.94</w:t>
            </w:r>
          </w:p>
        </w:tc>
        <w:tc>
          <w:tcPr>
            <w:tcW w:w="875" w:type="dxa"/>
            <w:shd w:val="clear" w:color="auto" w:fill="auto"/>
            <w:noWrap/>
            <w:vAlign w:val="center"/>
            <w:hideMark/>
          </w:tcPr>
          <w:p w14:paraId="56C830C7"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0.67</w:t>
            </w:r>
          </w:p>
        </w:tc>
        <w:tc>
          <w:tcPr>
            <w:tcW w:w="876" w:type="dxa"/>
            <w:shd w:val="clear" w:color="auto" w:fill="auto"/>
            <w:noWrap/>
            <w:vAlign w:val="center"/>
            <w:hideMark/>
          </w:tcPr>
          <w:p w14:paraId="59042413" w14:textId="77777777" w:rsidR="00011E48" w:rsidRPr="00011E48" w:rsidRDefault="00011E48" w:rsidP="00011E48">
            <w:pPr>
              <w:widowControl/>
              <w:wordWrap/>
              <w:autoSpaceDE/>
              <w:autoSpaceDN/>
              <w:spacing w:after="0" w:line="240" w:lineRule="auto"/>
              <w:jc w:val="center"/>
              <w:rPr>
                <w:rFonts w:ascii="Times New Roman" w:eastAsia="맑은 고딕" w:hAnsi="Times New Roman" w:cs="Times New Roman"/>
                <w:color w:val="000000"/>
                <w:kern w:val="0"/>
                <w:szCs w:val="24"/>
                <w:lang w:val="en-GB" w:eastAsia="de-DE"/>
              </w:rPr>
            </w:pPr>
            <w:r w:rsidRPr="00011E48">
              <w:rPr>
                <w:rFonts w:ascii="Times New Roman" w:eastAsia="Times New Roman" w:hAnsi="Times New Roman" w:cs="Times New Roman"/>
                <w:kern w:val="0"/>
                <w:szCs w:val="24"/>
                <w:lang w:val="en-GB" w:eastAsia="de-DE"/>
              </w:rPr>
              <w:t>0.52</w:t>
            </w:r>
          </w:p>
        </w:tc>
      </w:tr>
    </w:tbl>
    <w:p w14:paraId="1DA86161" w14:textId="77777777" w:rsidR="00011E48" w:rsidRPr="00712369" w:rsidRDefault="00011E48" w:rsidP="00712369">
      <w:pPr>
        <w:jc w:val="left"/>
        <w:rPr>
          <w:rFonts w:ascii="Palatino Linotype" w:hAnsi="Palatino Linotype"/>
          <w:i/>
          <w:iCs/>
          <w:sz w:val="24"/>
        </w:rPr>
      </w:pPr>
    </w:p>
    <w:p w14:paraId="08E7F1B4" w14:textId="5FB53159" w:rsidR="005B7F56" w:rsidRDefault="005B7F56" w:rsidP="00307AC7">
      <w:pPr>
        <w:jc w:val="left"/>
        <w:rPr>
          <w:rFonts w:ascii="Palatino Linotype" w:hAnsi="Palatino Linotype"/>
          <w:b/>
          <w:bCs/>
          <w:sz w:val="24"/>
        </w:rPr>
      </w:pPr>
      <w:r w:rsidRPr="005B7F56">
        <w:rPr>
          <w:rFonts w:ascii="Palatino Linotype" w:hAnsi="Palatino Linotype"/>
          <w:b/>
          <w:bCs/>
          <w:sz w:val="24"/>
        </w:rPr>
        <w:t>(3) Availability of independent VOC observations</w:t>
      </w:r>
      <w:r w:rsidR="0081330E">
        <w:rPr>
          <w:rFonts w:ascii="Palatino Linotype" w:hAnsi="Palatino Linotype"/>
          <w:b/>
          <w:bCs/>
          <w:sz w:val="24"/>
        </w:rPr>
        <w:t xml:space="preserve"> (KORUS-AQ)</w:t>
      </w:r>
    </w:p>
    <w:p w14:paraId="516C373D" w14:textId="46660B7D" w:rsidR="00F424E7" w:rsidRDefault="00A14BFC" w:rsidP="00307AC7">
      <w:pPr>
        <w:jc w:val="left"/>
        <w:rPr>
          <w:rFonts w:ascii="Palatino Linotype" w:hAnsi="Palatino Linotype"/>
          <w:b/>
          <w:bCs/>
          <w:sz w:val="24"/>
        </w:rPr>
      </w:pPr>
      <w:r w:rsidRPr="00A14BFC">
        <w:rPr>
          <w:rFonts w:ascii="Palatino Linotype" w:hAnsi="Palatino Linotype"/>
          <w:b/>
          <w:bCs/>
          <w:sz w:val="24"/>
        </w:rPr>
        <w:t>We agree that independent VOC observations would be valuable for evaluation. However, the KORUS-AQ campaign was conducted in 2016, which does not match our analysis period of May 2022. Therefore, we could not utilize these observations for this study.</w:t>
      </w:r>
    </w:p>
    <w:p w14:paraId="6F420E16" w14:textId="77777777" w:rsidR="00FB6BCD" w:rsidRPr="00BA49FB" w:rsidRDefault="00FB6BCD" w:rsidP="00307AC7">
      <w:pPr>
        <w:jc w:val="left"/>
        <w:rPr>
          <w:rFonts w:ascii="Palatino Linotype" w:hAnsi="Palatino Linotype"/>
          <w:b/>
          <w:bCs/>
          <w:sz w:val="24"/>
        </w:rPr>
      </w:pPr>
    </w:p>
    <w:p w14:paraId="51ECD461" w14:textId="77777777" w:rsidR="00307AC7" w:rsidRDefault="00307AC7" w:rsidP="00307AC7">
      <w:pPr>
        <w:jc w:val="left"/>
        <w:rPr>
          <w:rFonts w:ascii="Palatino Linotype" w:hAnsi="Palatino Linotype"/>
          <w:b/>
          <w:bCs/>
          <w:sz w:val="24"/>
        </w:rPr>
      </w:pPr>
      <w:r w:rsidRPr="00307AC7">
        <w:rPr>
          <w:rFonts w:ascii="Palatino Linotype" w:hAnsi="Palatino Linotype"/>
          <w:b/>
          <w:bCs/>
          <w:sz w:val="24"/>
        </w:rPr>
        <w:t xml:space="preserve">(4) </w:t>
      </w:r>
      <w:proofErr w:type="spellStart"/>
      <w:r w:rsidRPr="00307AC7">
        <w:rPr>
          <w:rFonts w:ascii="Palatino Linotype" w:hAnsi="Palatino Linotype"/>
          <w:b/>
          <w:bCs/>
          <w:sz w:val="24"/>
        </w:rPr>
        <w:t>CrIS</w:t>
      </w:r>
      <w:proofErr w:type="spellEnd"/>
      <w:r w:rsidRPr="00307AC7">
        <w:rPr>
          <w:rFonts w:ascii="Palatino Linotype" w:hAnsi="Palatino Linotype"/>
          <w:b/>
          <w:bCs/>
          <w:sz w:val="24"/>
        </w:rPr>
        <w:t xml:space="preserve"> isoprene comparison and interpretation of large BVOC adjustments</w:t>
      </w:r>
    </w:p>
    <w:p w14:paraId="6D3B77D9" w14:textId="2F3651CC" w:rsidR="004F2040" w:rsidRPr="00BA49FB" w:rsidRDefault="001907D0" w:rsidP="00307AC7">
      <w:pPr>
        <w:jc w:val="left"/>
        <w:rPr>
          <w:rFonts w:ascii="Palatino Linotype" w:hAnsi="Palatino Linotype"/>
          <w:b/>
          <w:bCs/>
          <w:sz w:val="24"/>
        </w:rPr>
      </w:pPr>
      <w:r w:rsidRPr="001907D0">
        <w:rPr>
          <w:rFonts w:ascii="Palatino Linotype" w:hAnsi="Palatino Linotype"/>
          <w:b/>
          <w:bCs/>
          <w:sz w:val="24"/>
        </w:rPr>
        <w:t xml:space="preserve">To further address the reviewer’s concern regarding the large BVOC emission increase, we compared the simulated isoprene vertical column densities with the </w:t>
      </w:r>
      <w:proofErr w:type="spellStart"/>
      <w:r w:rsidRPr="001907D0">
        <w:rPr>
          <w:rFonts w:ascii="Palatino Linotype" w:hAnsi="Palatino Linotype"/>
          <w:b/>
          <w:bCs/>
          <w:sz w:val="24"/>
        </w:rPr>
        <w:t>CrIS</w:t>
      </w:r>
      <w:proofErr w:type="spellEnd"/>
      <w:r w:rsidRPr="001907D0">
        <w:rPr>
          <w:rFonts w:ascii="Palatino Linotype" w:hAnsi="Palatino Linotype"/>
          <w:b/>
          <w:bCs/>
          <w:sz w:val="24"/>
        </w:rPr>
        <w:t xml:space="preserve"> isoprene retrieval product from Wells and Millet (2022). The </w:t>
      </w:r>
      <w:proofErr w:type="spellStart"/>
      <w:r w:rsidRPr="001907D0">
        <w:rPr>
          <w:rFonts w:ascii="Palatino Linotype" w:hAnsi="Palatino Linotype"/>
          <w:b/>
          <w:bCs/>
          <w:sz w:val="24"/>
        </w:rPr>
        <w:t>CrIS</w:t>
      </w:r>
      <w:proofErr w:type="spellEnd"/>
      <w:r w:rsidRPr="001907D0">
        <w:rPr>
          <w:rFonts w:ascii="Palatino Linotype" w:hAnsi="Palatino Linotype"/>
          <w:b/>
          <w:bCs/>
          <w:sz w:val="24"/>
        </w:rPr>
        <w:t xml:space="preserve"> product provides a multi-year </w:t>
      </w:r>
      <w:r w:rsidR="00061795">
        <w:rPr>
          <w:rFonts w:ascii="Palatino Linotype" w:hAnsi="Palatino Linotype"/>
          <w:b/>
          <w:bCs/>
          <w:sz w:val="24"/>
        </w:rPr>
        <w:t xml:space="preserve">May </w:t>
      </w:r>
      <w:r w:rsidRPr="001907D0">
        <w:rPr>
          <w:rFonts w:ascii="Palatino Linotype" w:hAnsi="Palatino Linotype"/>
          <w:b/>
          <w:bCs/>
          <w:sz w:val="24"/>
        </w:rPr>
        <w:t xml:space="preserve">mean for 2012–2020; therefore, we compared the May </w:t>
      </w:r>
      <w:r w:rsidRPr="001907D0">
        <w:rPr>
          <w:rFonts w:ascii="Palatino Linotype" w:hAnsi="Palatino Linotype"/>
          <w:b/>
          <w:bCs/>
          <w:sz w:val="24"/>
        </w:rPr>
        <w:lastRenderedPageBreak/>
        <w:t xml:space="preserve">mean </w:t>
      </w:r>
      <w:proofErr w:type="spellStart"/>
      <w:r w:rsidRPr="001907D0">
        <w:rPr>
          <w:rFonts w:ascii="Palatino Linotype" w:hAnsi="Palatino Linotype"/>
          <w:b/>
          <w:bCs/>
          <w:sz w:val="24"/>
        </w:rPr>
        <w:t>CrIS</w:t>
      </w:r>
      <w:proofErr w:type="spellEnd"/>
      <w:r w:rsidRPr="001907D0">
        <w:rPr>
          <w:rFonts w:ascii="Palatino Linotype" w:hAnsi="Palatino Linotype"/>
          <w:b/>
          <w:bCs/>
          <w:sz w:val="24"/>
        </w:rPr>
        <w:t xml:space="preserve"> isoprene VCDs with the model results. The Prior experiment generally underestimated isoprene VCDs relative to </w:t>
      </w:r>
      <w:proofErr w:type="spellStart"/>
      <w:r w:rsidRPr="001907D0">
        <w:rPr>
          <w:rFonts w:ascii="Palatino Linotype" w:hAnsi="Palatino Linotype"/>
          <w:b/>
          <w:bCs/>
          <w:sz w:val="24"/>
        </w:rPr>
        <w:t>CrIS</w:t>
      </w:r>
      <w:proofErr w:type="spellEnd"/>
      <w:r w:rsidRPr="001907D0">
        <w:rPr>
          <w:rFonts w:ascii="Palatino Linotype" w:hAnsi="Palatino Linotype"/>
          <w:b/>
          <w:bCs/>
          <w:sz w:val="24"/>
        </w:rPr>
        <w:t xml:space="preserve">, whereas the </w:t>
      </w:r>
      <w:proofErr w:type="spellStart"/>
      <w:r w:rsidRPr="001907D0">
        <w:rPr>
          <w:rFonts w:ascii="Palatino Linotype" w:hAnsi="Palatino Linotype"/>
          <w:b/>
          <w:bCs/>
          <w:sz w:val="24"/>
        </w:rPr>
        <w:t>Hybrid_NOx+VOC</w:t>
      </w:r>
      <w:proofErr w:type="spellEnd"/>
      <w:r w:rsidRPr="001907D0">
        <w:rPr>
          <w:rFonts w:ascii="Palatino Linotype" w:hAnsi="Palatino Linotype"/>
          <w:b/>
          <w:bCs/>
          <w:sz w:val="24"/>
        </w:rPr>
        <w:t xml:space="preserve"> experiment produced column magnitudes closer to the </w:t>
      </w:r>
      <w:proofErr w:type="spellStart"/>
      <w:r w:rsidRPr="001907D0">
        <w:rPr>
          <w:rFonts w:ascii="Palatino Linotype" w:hAnsi="Palatino Linotype"/>
          <w:b/>
          <w:bCs/>
          <w:sz w:val="24"/>
        </w:rPr>
        <w:t>CrIS</w:t>
      </w:r>
      <w:proofErr w:type="spellEnd"/>
      <w:r w:rsidRPr="001907D0">
        <w:rPr>
          <w:rFonts w:ascii="Palatino Linotype" w:hAnsi="Palatino Linotype"/>
          <w:b/>
          <w:bCs/>
          <w:sz w:val="24"/>
        </w:rPr>
        <w:t xml:space="preserve"> observations. However, spatial discrepancies remained, with the model showing stronger localized enhancements over inland South Korea. These discrepancies may reflect differences in temporal representativeness, as </w:t>
      </w:r>
      <w:proofErr w:type="spellStart"/>
      <w:r w:rsidRPr="001907D0">
        <w:rPr>
          <w:rFonts w:ascii="Palatino Linotype" w:hAnsi="Palatino Linotype"/>
          <w:b/>
          <w:bCs/>
          <w:sz w:val="24"/>
        </w:rPr>
        <w:t>CrIS</w:t>
      </w:r>
      <w:proofErr w:type="spellEnd"/>
      <w:r w:rsidRPr="001907D0">
        <w:rPr>
          <w:rFonts w:ascii="Palatino Linotype" w:hAnsi="Palatino Linotype"/>
          <w:b/>
          <w:bCs/>
          <w:sz w:val="24"/>
        </w:rPr>
        <w:t xml:space="preserve"> represents a 2012–2020 May</w:t>
      </w:r>
      <w:r w:rsidR="00053459">
        <w:rPr>
          <w:rFonts w:ascii="Palatino Linotype" w:hAnsi="Palatino Linotype"/>
          <w:b/>
          <w:bCs/>
          <w:sz w:val="24"/>
        </w:rPr>
        <w:t xml:space="preserve"> mean</w:t>
      </w:r>
      <w:r w:rsidR="00517B2E">
        <w:rPr>
          <w:rFonts w:ascii="Palatino Linotype" w:hAnsi="Palatino Linotype"/>
          <w:b/>
          <w:bCs/>
          <w:sz w:val="24"/>
        </w:rPr>
        <w:t xml:space="preserve">, </w:t>
      </w:r>
      <w:r w:rsidRPr="001907D0">
        <w:rPr>
          <w:rFonts w:ascii="Palatino Linotype" w:hAnsi="Palatino Linotype"/>
          <w:b/>
          <w:bCs/>
          <w:sz w:val="24"/>
        </w:rPr>
        <w:t>whereas the CMAQ simulations represent a specific May 2022 episode, as well as uncertainties in BVOC emissions, chemical oxidation, and satellite retrievals. Therefore, this comparison is interpreted as a qualitative consistency check rather than a direct validation of absolute BVOC emissions.</w:t>
      </w:r>
    </w:p>
    <w:p w14:paraId="63D02EBC" w14:textId="42FFD221" w:rsidR="00BA49FB" w:rsidRDefault="00BA49FB" w:rsidP="00307AC7">
      <w:pPr>
        <w:jc w:val="left"/>
        <w:rPr>
          <w:rFonts w:ascii="Palatino Linotype" w:hAnsi="Palatino Linotype"/>
          <w:b/>
          <w:bCs/>
          <w:sz w:val="24"/>
        </w:rPr>
      </w:pPr>
      <w:r w:rsidRPr="00BA49FB">
        <w:rPr>
          <w:rFonts w:ascii="Palatino Linotype" w:hAnsi="Palatino Linotype"/>
          <w:b/>
          <w:bCs/>
          <w:sz w:val="24"/>
        </w:rPr>
        <w:t xml:space="preserve">We agree that the large BVOC adjustments should be interpreted cautiously. HCHO columns reflect the combined effects of VOC emissions, chemical production yields, oxidative capacity, transport, and retrieval uncertainties. Therefore, HCHO-constrained BVOC corrections may partly compensate for uncertainties in model chemistry or oxidation processes, as noted by the reviewer and as also suggested by Choi et al. (2025). </w:t>
      </w:r>
      <w:r w:rsidR="009675E4" w:rsidRPr="009675E4">
        <w:rPr>
          <w:rFonts w:ascii="Palatino Linotype" w:hAnsi="Palatino Linotype"/>
          <w:b/>
          <w:bCs/>
          <w:sz w:val="24"/>
        </w:rPr>
        <w:t>We have therefore revised the manuscript to state this limitation explicitly and to clarify that the optimized BVOC emissions should not be interpreted as an independent evaluation of absolute BVOC emission magnitudes.</w:t>
      </w:r>
    </w:p>
    <w:p w14:paraId="0F52E7F6" w14:textId="77777777" w:rsidR="00162733" w:rsidRPr="00BA49FB" w:rsidRDefault="00162733" w:rsidP="00307AC7">
      <w:pPr>
        <w:jc w:val="left"/>
        <w:rPr>
          <w:rFonts w:ascii="Palatino Linotype" w:hAnsi="Palatino Linotype"/>
          <w:b/>
          <w:bCs/>
          <w:sz w:val="24"/>
        </w:rPr>
      </w:pPr>
    </w:p>
    <w:p w14:paraId="5ED9BA7C" w14:textId="6DE37129" w:rsidR="0050011D" w:rsidRPr="00C87BD9" w:rsidRDefault="0050011D" w:rsidP="0050011D">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sidR="001B22BF">
        <w:rPr>
          <w:rFonts w:ascii="Palatino Linotype" w:hAnsi="Palatino Linotype" w:cs="Times New Roman"/>
          <w:i/>
          <w:color w:val="0A0A0A"/>
          <w:sz w:val="24"/>
          <w:szCs w:val="24"/>
          <w:shd w:val="clear" w:color="auto" w:fill="FEFEFE"/>
        </w:rPr>
        <w:t>1</w:t>
      </w:r>
      <w:r w:rsidRPr="00964E09">
        <w:rPr>
          <w:rFonts w:ascii="Palatino Linotype" w:hAnsi="Palatino Linotype" w:cs="Times New Roman"/>
          <w:i/>
          <w:color w:val="0A0A0A"/>
          <w:sz w:val="24"/>
          <w:szCs w:val="24"/>
          <w:shd w:val="clear" w:color="auto" w:fill="FEFEFE"/>
        </w:rPr>
        <w:t xml:space="preserve"> in the revised manuscript&gt;</w:t>
      </w:r>
    </w:p>
    <w:p w14:paraId="66FCEE0E" w14:textId="1FBBEA19" w:rsidR="009675E4" w:rsidRDefault="00275C2C" w:rsidP="007F32C6">
      <w:pPr>
        <w:jc w:val="left"/>
        <w:rPr>
          <w:rFonts w:ascii="Palatino Linotype" w:hAnsi="Palatino Linotype"/>
          <w:i/>
          <w:iCs/>
          <w:sz w:val="24"/>
        </w:rPr>
      </w:pPr>
      <w:r w:rsidRPr="00275C2C">
        <w:rPr>
          <w:rFonts w:ascii="Palatino Linotype" w:hAnsi="Palatino Linotype"/>
          <w:i/>
          <w:iCs/>
          <w:sz w:val="24"/>
        </w:rPr>
        <w:t xml:space="preserve">Nevertheless, the large BVOC adjustment should be interpreted with caution. Because HCHO columns indirectly constrain VOC emissions, the inversion may partly compensate for uncertainties in model chemistry, oxidative capacity, transport, or retrieval errors rather than reflecting BVOC emission errors alone (Choi et al., 2025). To evaluate the consistency of the optimized BVOC emissions, we compared the modeled isoprene VCDs against the multi-year May mean </w:t>
      </w:r>
      <w:proofErr w:type="spellStart"/>
      <w:r w:rsidRPr="00275C2C">
        <w:rPr>
          <w:rFonts w:ascii="Palatino Linotype" w:hAnsi="Palatino Linotype"/>
          <w:i/>
          <w:iCs/>
          <w:sz w:val="24"/>
        </w:rPr>
        <w:t>CrIS</w:t>
      </w:r>
      <w:proofErr w:type="spellEnd"/>
      <w:r w:rsidRPr="00275C2C">
        <w:rPr>
          <w:rFonts w:ascii="Palatino Linotype" w:hAnsi="Palatino Linotype"/>
          <w:i/>
          <w:iCs/>
          <w:sz w:val="24"/>
        </w:rPr>
        <w:t xml:space="preserve"> retrievals for 2012–2020 (Wells and Millet, 2022). Although the </w:t>
      </w:r>
      <w:proofErr w:type="spellStart"/>
      <w:r w:rsidRPr="00275C2C">
        <w:rPr>
          <w:rFonts w:ascii="Palatino Linotype" w:hAnsi="Palatino Linotype"/>
          <w:i/>
          <w:iCs/>
          <w:sz w:val="24"/>
        </w:rPr>
        <w:t>Hybrid_NOx+VOC</w:t>
      </w:r>
      <w:proofErr w:type="spellEnd"/>
      <w:r w:rsidRPr="00275C2C">
        <w:rPr>
          <w:rFonts w:ascii="Palatino Linotype" w:hAnsi="Palatino Linotype"/>
          <w:i/>
          <w:iCs/>
          <w:sz w:val="24"/>
        </w:rPr>
        <w:t xml:space="preserve"> experiment produced isoprene VCD magnitudes closer to the </w:t>
      </w:r>
      <w:proofErr w:type="spellStart"/>
      <w:r w:rsidRPr="00275C2C">
        <w:rPr>
          <w:rFonts w:ascii="Palatino Linotype" w:hAnsi="Palatino Linotype"/>
          <w:i/>
          <w:iCs/>
          <w:sz w:val="24"/>
        </w:rPr>
        <w:t>CrIS</w:t>
      </w:r>
      <w:proofErr w:type="spellEnd"/>
      <w:r w:rsidRPr="00275C2C">
        <w:rPr>
          <w:rFonts w:ascii="Palatino Linotype" w:hAnsi="Palatino Linotype"/>
          <w:i/>
          <w:iCs/>
          <w:sz w:val="24"/>
        </w:rPr>
        <w:t xml:space="preserve"> retrievals than the Prior experiment (MBE decreased from -7.16×1014 </w:t>
      </w:r>
      <w:proofErr w:type="spellStart"/>
      <w:r w:rsidRPr="00275C2C">
        <w:rPr>
          <w:rFonts w:ascii="Palatino Linotype" w:hAnsi="Palatino Linotype"/>
          <w:i/>
          <w:iCs/>
          <w:sz w:val="24"/>
        </w:rPr>
        <w:t>molec</w:t>
      </w:r>
      <w:proofErr w:type="spellEnd"/>
      <w:r w:rsidRPr="00275C2C">
        <w:rPr>
          <w:rFonts w:ascii="Palatino Linotype" w:hAnsi="Palatino Linotype"/>
          <w:i/>
          <w:iCs/>
          <w:sz w:val="24"/>
        </w:rPr>
        <w:t xml:space="preserve"> cm</w:t>
      </w:r>
      <w:r w:rsidRPr="007F32C6">
        <w:rPr>
          <w:rFonts w:ascii="Palatino Linotype" w:hAnsi="Palatino Linotype"/>
          <w:i/>
          <w:iCs/>
          <w:sz w:val="24"/>
          <w:vertAlign w:val="superscript"/>
        </w:rPr>
        <w:t>-2</w:t>
      </w:r>
      <w:r w:rsidRPr="00275C2C">
        <w:rPr>
          <w:rFonts w:ascii="Palatino Linotype" w:hAnsi="Palatino Linotype"/>
          <w:i/>
          <w:iCs/>
          <w:sz w:val="24"/>
        </w:rPr>
        <w:t xml:space="preserve"> in the Prior experiment to -3.73×1014 </w:t>
      </w:r>
      <w:proofErr w:type="spellStart"/>
      <w:r w:rsidRPr="00275C2C">
        <w:rPr>
          <w:rFonts w:ascii="Palatino Linotype" w:hAnsi="Palatino Linotype"/>
          <w:i/>
          <w:iCs/>
          <w:sz w:val="24"/>
        </w:rPr>
        <w:t>molec</w:t>
      </w:r>
      <w:proofErr w:type="spellEnd"/>
      <w:r w:rsidRPr="00275C2C">
        <w:rPr>
          <w:rFonts w:ascii="Palatino Linotype" w:hAnsi="Palatino Linotype"/>
          <w:i/>
          <w:iCs/>
          <w:sz w:val="24"/>
        </w:rPr>
        <w:t xml:space="preserve"> cm</w:t>
      </w:r>
      <w:r w:rsidRPr="007F32C6">
        <w:rPr>
          <w:rFonts w:ascii="Palatino Linotype" w:hAnsi="Palatino Linotype"/>
          <w:i/>
          <w:iCs/>
          <w:sz w:val="24"/>
          <w:vertAlign w:val="superscript"/>
        </w:rPr>
        <w:t>-2</w:t>
      </w:r>
      <w:r w:rsidRPr="00275C2C">
        <w:rPr>
          <w:rFonts w:ascii="Palatino Linotype" w:hAnsi="Palatino Linotype"/>
          <w:i/>
          <w:iCs/>
          <w:sz w:val="24"/>
        </w:rPr>
        <w:t xml:space="preserve"> in the </w:t>
      </w:r>
      <w:proofErr w:type="spellStart"/>
      <w:r w:rsidRPr="00275C2C">
        <w:rPr>
          <w:rFonts w:ascii="Palatino Linotype" w:hAnsi="Palatino Linotype"/>
          <w:i/>
          <w:iCs/>
          <w:sz w:val="24"/>
        </w:rPr>
        <w:t>Hybrid_NOx+VOC</w:t>
      </w:r>
      <w:proofErr w:type="spellEnd"/>
      <w:r w:rsidRPr="00275C2C">
        <w:rPr>
          <w:rFonts w:ascii="Palatino Linotype" w:hAnsi="Palatino Linotype"/>
          <w:i/>
          <w:iCs/>
          <w:sz w:val="24"/>
        </w:rPr>
        <w:t xml:space="preserve"> experiment), spatial differences remained (Fig. S5). These discrepancies are likely related, at least in part, to the temporal mismatch between the multi-year May mean </w:t>
      </w:r>
      <w:proofErr w:type="spellStart"/>
      <w:r w:rsidRPr="00275C2C">
        <w:rPr>
          <w:rFonts w:ascii="Palatino Linotype" w:hAnsi="Palatino Linotype"/>
          <w:i/>
          <w:iCs/>
          <w:sz w:val="24"/>
        </w:rPr>
        <w:t>CrIS</w:t>
      </w:r>
      <w:proofErr w:type="spellEnd"/>
      <w:r w:rsidRPr="00275C2C">
        <w:rPr>
          <w:rFonts w:ascii="Palatino Linotype" w:hAnsi="Palatino Linotype"/>
          <w:i/>
          <w:iCs/>
          <w:sz w:val="24"/>
        </w:rPr>
        <w:t xml:space="preserve"> observations and our specific May 2022 episodic simulation. </w:t>
      </w:r>
      <w:r w:rsidR="00176D46" w:rsidRPr="00176D46">
        <w:rPr>
          <w:rFonts w:ascii="Palatino Linotype" w:hAnsi="Palatino Linotype"/>
          <w:i/>
          <w:iCs/>
          <w:sz w:val="24"/>
        </w:rPr>
        <w:t>Therefore, the optimized BVOC emissions in this study should be viewed as HCHO-constrained effective VOC corrections within the model framework, rather than as an independent evaluation of absolute BVOC emission magnitudes.</w:t>
      </w:r>
    </w:p>
    <w:p w14:paraId="771FD407" w14:textId="77777777" w:rsidR="00A72768" w:rsidRPr="00A72768" w:rsidRDefault="00A72768" w:rsidP="00A72768">
      <w:pPr>
        <w:keepNext/>
        <w:widowControl/>
        <w:wordWrap/>
        <w:autoSpaceDE/>
        <w:autoSpaceDN/>
        <w:spacing w:after="0" w:line="360" w:lineRule="auto"/>
        <w:jc w:val="center"/>
        <w:rPr>
          <w:rFonts w:ascii="Times New Roman" w:eastAsia="Times New Roman" w:hAnsi="Times New Roman" w:cs="Times New Roman"/>
          <w:kern w:val="0"/>
          <w:szCs w:val="24"/>
          <w:lang w:val="en-GB" w:eastAsia="de-DE"/>
        </w:rPr>
      </w:pPr>
      <w:r w:rsidRPr="00A72768">
        <w:rPr>
          <w:rFonts w:ascii="Times New Roman" w:eastAsia="Times New Roman" w:hAnsi="Times New Roman" w:cs="Times New Roman"/>
          <w:noProof/>
          <w:kern w:val="0"/>
          <w:szCs w:val="24"/>
          <w:lang w:val="en-GB" w:eastAsia="de-DE"/>
        </w:rPr>
        <w:lastRenderedPageBreak/>
        <w:drawing>
          <wp:inline distT="0" distB="0" distL="0" distR="0" wp14:anchorId="38DDBD83" wp14:editId="369AFD0C">
            <wp:extent cx="5529532" cy="2211266"/>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50386" cy="2219606"/>
                    </a:xfrm>
                    <a:prstGeom prst="rect">
                      <a:avLst/>
                    </a:prstGeom>
                    <a:noFill/>
                  </pic:spPr>
                </pic:pic>
              </a:graphicData>
            </a:graphic>
          </wp:inline>
        </w:drawing>
      </w:r>
    </w:p>
    <w:p w14:paraId="1B1612D9" w14:textId="77777777" w:rsidR="00A72768" w:rsidRPr="00A72768" w:rsidRDefault="00A72768" w:rsidP="00A72768">
      <w:pPr>
        <w:widowControl/>
        <w:wordWrap/>
        <w:autoSpaceDE/>
        <w:autoSpaceDN/>
        <w:spacing w:after="0" w:line="240" w:lineRule="auto"/>
        <w:jc w:val="left"/>
        <w:rPr>
          <w:rFonts w:ascii="Times New Roman" w:eastAsia="맑은 고딕" w:hAnsi="Times New Roman" w:cs="Times New Roman"/>
          <w:b/>
          <w:bCs/>
          <w:kern w:val="0"/>
          <w:sz w:val="24"/>
          <w:szCs w:val="24"/>
          <w:lang w:val="en-GB" w:eastAsia="de-DE"/>
        </w:rPr>
      </w:pPr>
      <w:r w:rsidRPr="00A72768">
        <w:rPr>
          <w:rFonts w:ascii="Times New Roman" w:eastAsia="Times New Roman" w:hAnsi="Times New Roman" w:cs="Times New Roman"/>
          <w:b/>
          <w:bCs/>
          <w:kern w:val="0"/>
          <w:szCs w:val="24"/>
          <w:lang w:val="en-GB" w:eastAsia="de-DE"/>
        </w:rPr>
        <w:t xml:space="preserve">Figure S5: Spatial distributions of isoprene vertical column densities (VCDs) from (a) the May mean </w:t>
      </w:r>
      <w:proofErr w:type="spellStart"/>
      <w:r w:rsidRPr="00A72768">
        <w:rPr>
          <w:rFonts w:ascii="Times New Roman" w:eastAsia="Times New Roman" w:hAnsi="Times New Roman" w:cs="Times New Roman"/>
          <w:b/>
          <w:bCs/>
          <w:kern w:val="0"/>
          <w:szCs w:val="24"/>
          <w:lang w:val="en-GB" w:eastAsia="de-DE"/>
        </w:rPr>
        <w:t>CrIS</w:t>
      </w:r>
      <w:proofErr w:type="spellEnd"/>
      <w:r w:rsidRPr="00A72768">
        <w:rPr>
          <w:rFonts w:ascii="Times New Roman" w:eastAsia="Times New Roman" w:hAnsi="Times New Roman" w:cs="Times New Roman"/>
          <w:b/>
          <w:bCs/>
          <w:kern w:val="0"/>
          <w:szCs w:val="24"/>
          <w:lang w:val="en-GB" w:eastAsia="de-DE"/>
        </w:rPr>
        <w:t xml:space="preserve"> retrievals for 2012–2020, (b) the Prior experiment, and (c) the </w:t>
      </w:r>
      <w:proofErr w:type="spellStart"/>
      <w:r w:rsidRPr="00A72768">
        <w:rPr>
          <w:rFonts w:ascii="Times New Roman" w:eastAsia="Times New Roman" w:hAnsi="Times New Roman" w:cs="Times New Roman"/>
          <w:b/>
          <w:bCs/>
          <w:kern w:val="0"/>
          <w:szCs w:val="24"/>
          <w:lang w:val="en-GB" w:eastAsia="de-DE"/>
        </w:rPr>
        <w:t>Hybrid_NOx+VOC</w:t>
      </w:r>
      <w:proofErr w:type="spellEnd"/>
      <w:r w:rsidRPr="00A72768">
        <w:rPr>
          <w:rFonts w:ascii="Times New Roman" w:eastAsia="Times New Roman" w:hAnsi="Times New Roman" w:cs="Times New Roman"/>
          <w:b/>
          <w:bCs/>
          <w:kern w:val="0"/>
          <w:szCs w:val="24"/>
          <w:lang w:val="en-GB" w:eastAsia="de-DE"/>
        </w:rPr>
        <w:t xml:space="preserve"> experiment. The CMAQ results are averaged over the study period.</w:t>
      </w:r>
    </w:p>
    <w:p w14:paraId="603BA9D7" w14:textId="77777777" w:rsidR="00353B68" w:rsidRDefault="00353B68" w:rsidP="007F32C6">
      <w:pPr>
        <w:jc w:val="left"/>
        <w:rPr>
          <w:rFonts w:ascii="Palatino Linotype" w:hAnsi="Palatino Linotype"/>
          <w:b/>
          <w:bCs/>
          <w:sz w:val="24"/>
        </w:rPr>
      </w:pPr>
    </w:p>
    <w:p w14:paraId="1ED48B10" w14:textId="30C55162" w:rsidR="008B37F7" w:rsidRPr="00D878B1" w:rsidRDefault="008B37F7">
      <w:pPr>
        <w:widowControl/>
        <w:wordWrap/>
        <w:autoSpaceDE/>
        <w:autoSpaceDN/>
        <w:rPr>
          <w:rFonts w:ascii="Palatino Linotype" w:hAnsi="Palatino Linotype"/>
          <w:color w:val="0000FF"/>
          <w:sz w:val="24"/>
          <w:szCs w:val="28"/>
        </w:rPr>
      </w:pPr>
      <w:r>
        <w:rPr>
          <w:rFonts w:ascii="Palatino Linotype" w:eastAsia="굴림" w:hAnsi="Palatino Linotype" w:cs="Times New Roman"/>
          <w:color w:val="0A0A0A"/>
          <w:kern w:val="0"/>
          <w:sz w:val="24"/>
          <w:szCs w:val="24"/>
        </w:rPr>
        <w:br w:type="page"/>
      </w:r>
    </w:p>
    <w:p w14:paraId="209E9D01" w14:textId="717786B8" w:rsidR="00D25834" w:rsidRDefault="00E5526A" w:rsidP="00D25834">
      <w:pPr>
        <w:widowControl/>
        <w:wordWrap/>
        <w:autoSpaceDE/>
        <w:autoSpaceDN/>
        <w:rPr>
          <w:rFonts w:ascii="Palatino Linotype" w:eastAsia="굴림" w:hAnsi="Palatino Linotype" w:cs="Times New Roman"/>
          <w:b/>
          <w:bCs/>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Pr>
          <w:rFonts w:ascii="Palatino Linotype" w:eastAsia="굴림" w:hAnsi="Palatino Linotype" w:cs="Times New Roman"/>
          <w:b/>
          <w:bCs/>
          <w:color w:val="0A0A0A"/>
          <w:kern w:val="0"/>
          <w:sz w:val="24"/>
          <w:szCs w:val="24"/>
        </w:rPr>
        <w:t xml:space="preserve"> 5</w:t>
      </w:r>
    </w:p>
    <w:p w14:paraId="4A2E2018" w14:textId="3522DB2C" w:rsidR="001F3DCA" w:rsidRDefault="001F3DCA" w:rsidP="00D25834">
      <w:pPr>
        <w:widowControl/>
        <w:wordWrap/>
        <w:autoSpaceDE/>
        <w:autoSpaceDN/>
        <w:rPr>
          <w:rFonts w:ascii="Palatino Linotype" w:eastAsia="굴림" w:hAnsi="Palatino Linotype" w:cs="Times New Roman"/>
          <w:color w:val="0A0A0A"/>
          <w:kern w:val="0"/>
          <w:sz w:val="24"/>
          <w:szCs w:val="24"/>
        </w:rPr>
      </w:pPr>
      <w:r w:rsidRPr="001F3DCA">
        <w:rPr>
          <w:rFonts w:ascii="Palatino Linotype" w:eastAsia="굴림" w:hAnsi="Palatino Linotype" w:cs="Times New Roman"/>
          <w:color w:val="0A0A0A"/>
          <w:kern w:val="0"/>
          <w:sz w:val="24"/>
          <w:szCs w:val="24"/>
        </w:rPr>
        <w:t>Fig 9: The consistency here is quite impressive! Especially given the differences evident in the prior model (Fig S3). I liked this result a lot.</w:t>
      </w:r>
    </w:p>
    <w:p w14:paraId="65CE4CC5" w14:textId="77777777" w:rsidR="00E5526A" w:rsidRDefault="00E5526A" w:rsidP="00D25834">
      <w:pPr>
        <w:widowControl/>
        <w:wordWrap/>
        <w:autoSpaceDE/>
        <w:autoSpaceDN/>
        <w:rPr>
          <w:rFonts w:ascii="Palatino Linotype" w:eastAsia="굴림" w:hAnsi="Palatino Linotype" w:cs="Times New Roman"/>
          <w:color w:val="0A0A0A"/>
          <w:kern w:val="0"/>
          <w:sz w:val="24"/>
          <w:szCs w:val="24"/>
        </w:rPr>
      </w:pPr>
    </w:p>
    <w:p w14:paraId="0BD677A3" w14:textId="2BA4D640" w:rsidR="001F3DCA" w:rsidRPr="001940AD" w:rsidRDefault="001F3DCA" w:rsidP="001F3DCA">
      <w:pPr>
        <w:widowControl/>
        <w:wordWrap/>
        <w:autoSpaceDE/>
        <w:autoSpaceDN/>
        <w:rPr>
          <w:rFonts w:ascii="Palatino Linotype" w:hAnsi="Palatino Linotype"/>
          <w:b/>
          <w:bCs/>
          <w:sz w:val="24"/>
          <w:szCs w:val="28"/>
        </w:rPr>
      </w:pPr>
      <w:r w:rsidRPr="001940AD">
        <w:rPr>
          <w:rFonts w:ascii="Palatino Linotype" w:hAnsi="Palatino Linotype" w:cs="Times New Roman"/>
          <w:b/>
          <w:bCs/>
          <w:color w:val="FF0000"/>
          <w:sz w:val="24"/>
          <w:szCs w:val="28"/>
          <w:shd w:val="clear" w:color="auto" w:fill="FFFFFF"/>
        </w:rPr>
        <w:t>Response</w:t>
      </w:r>
      <w:r w:rsidRPr="001940AD">
        <w:rPr>
          <w:rFonts w:ascii="Palatino Linotype" w:hAnsi="Palatino Linotype" w:cs="Times New Roman"/>
          <w:b/>
          <w:bCs/>
          <w:sz w:val="24"/>
          <w:szCs w:val="28"/>
          <w:shd w:val="clear" w:color="auto" w:fill="FFFFFF"/>
        </w:rPr>
        <w:t xml:space="preserve">: </w:t>
      </w:r>
      <w:r w:rsidR="001940AD" w:rsidRPr="001940AD">
        <w:rPr>
          <w:rFonts w:ascii="Palatino Linotype" w:hAnsi="Palatino Linotype" w:cs="Times New Roman"/>
          <w:b/>
          <w:bCs/>
          <w:sz w:val="24"/>
          <w:szCs w:val="28"/>
          <w:shd w:val="clear" w:color="auto" w:fill="FFFFFF"/>
        </w:rPr>
        <w:t>We thank the reviewer for the positive comment.</w:t>
      </w:r>
    </w:p>
    <w:p w14:paraId="51AA42EE" w14:textId="77777777" w:rsidR="001F3DCA" w:rsidRDefault="001F3DCA" w:rsidP="00D25834">
      <w:pPr>
        <w:widowControl/>
        <w:wordWrap/>
        <w:autoSpaceDE/>
        <w:autoSpaceDN/>
        <w:rPr>
          <w:rFonts w:ascii="Palatino Linotype" w:eastAsia="굴림" w:hAnsi="Palatino Linotype" w:cs="Times New Roman"/>
          <w:color w:val="0A0A0A"/>
          <w:kern w:val="0"/>
          <w:sz w:val="24"/>
          <w:szCs w:val="24"/>
        </w:rPr>
      </w:pPr>
    </w:p>
    <w:p w14:paraId="3E0580A1" w14:textId="5605E1B3" w:rsidR="001F3DCA" w:rsidRDefault="001F3DCA" w:rsidP="001F3DCA">
      <w:pPr>
        <w:widowControl/>
        <w:wordWrap/>
        <w:autoSpaceDE/>
        <w:autoSpaceDN/>
        <w:rPr>
          <w:rFonts w:ascii="Palatino Linotype" w:eastAsia="굴림" w:hAnsi="Palatino Linotype" w:cs="Times New Roman"/>
          <w:b/>
          <w:bCs/>
          <w:color w:val="0A0A0A"/>
          <w:kern w:val="0"/>
          <w:sz w:val="24"/>
          <w:szCs w:val="24"/>
        </w:rPr>
      </w:pPr>
      <w:r w:rsidRPr="00D25834">
        <w:rPr>
          <w:rFonts w:ascii="Palatino Linotype" w:eastAsia="굴림" w:hAnsi="Palatino Linotype" w:cs="Times New Roman"/>
          <w:b/>
          <w:bCs/>
          <w:color w:val="0A0A0A"/>
          <w:kern w:val="0"/>
          <w:sz w:val="24"/>
          <w:szCs w:val="24"/>
        </w:rPr>
        <w:t>Major comment</w:t>
      </w:r>
      <w:r>
        <w:rPr>
          <w:rFonts w:ascii="Palatino Linotype" w:eastAsia="굴림" w:hAnsi="Palatino Linotype" w:cs="Times New Roman"/>
          <w:b/>
          <w:bCs/>
          <w:color w:val="0A0A0A"/>
          <w:kern w:val="0"/>
          <w:sz w:val="24"/>
          <w:szCs w:val="24"/>
        </w:rPr>
        <w:t xml:space="preserve"> </w:t>
      </w:r>
      <w:r w:rsidR="006068B6">
        <w:rPr>
          <w:rFonts w:ascii="Palatino Linotype" w:eastAsia="굴림" w:hAnsi="Palatino Linotype" w:cs="Times New Roman"/>
          <w:b/>
          <w:bCs/>
          <w:color w:val="0A0A0A"/>
          <w:kern w:val="0"/>
          <w:sz w:val="24"/>
          <w:szCs w:val="24"/>
        </w:rPr>
        <w:t>6</w:t>
      </w:r>
    </w:p>
    <w:p w14:paraId="368139AC" w14:textId="7A8443E2" w:rsidR="001F3DCA" w:rsidRDefault="006068B6" w:rsidP="001F3DCA">
      <w:pPr>
        <w:widowControl/>
        <w:wordWrap/>
        <w:autoSpaceDE/>
        <w:autoSpaceDN/>
        <w:rPr>
          <w:rFonts w:ascii="Palatino Linotype" w:eastAsia="굴림" w:hAnsi="Palatino Linotype" w:cs="Times New Roman"/>
          <w:color w:val="0A0A0A"/>
          <w:kern w:val="0"/>
          <w:sz w:val="24"/>
          <w:szCs w:val="24"/>
        </w:rPr>
      </w:pPr>
      <w:r w:rsidRPr="006068B6">
        <w:rPr>
          <w:rFonts w:ascii="Palatino Linotype" w:eastAsia="굴림" w:hAnsi="Palatino Linotype" w:cs="Times New Roman"/>
          <w:color w:val="0A0A0A"/>
          <w:kern w:val="0"/>
          <w:sz w:val="24"/>
          <w:szCs w:val="24"/>
        </w:rPr>
        <w:t>Fig 10 / Conclusions: I also found this figure very interesting and a useful way to present information.</w:t>
      </w:r>
      <w:r w:rsidR="00D72693">
        <w:rPr>
          <w:rFonts w:ascii="Palatino Linotype" w:eastAsia="굴림" w:hAnsi="Palatino Linotype" w:cs="Times New Roman"/>
          <w:color w:val="0A0A0A"/>
          <w:kern w:val="0"/>
          <w:sz w:val="24"/>
          <w:szCs w:val="24"/>
        </w:rPr>
        <w:t xml:space="preserve"> </w:t>
      </w:r>
      <w:r w:rsidRPr="006068B6">
        <w:rPr>
          <w:rFonts w:ascii="Palatino Linotype" w:eastAsia="굴림" w:hAnsi="Palatino Linotype" w:cs="Times New Roman"/>
          <w:color w:val="0A0A0A"/>
          <w:kern w:val="0"/>
          <w:sz w:val="24"/>
          <w:szCs w:val="24"/>
        </w:rPr>
        <w:t>Can the authors explain the chemical mechanism whereby emissions of VOCs lead to O</w:t>
      </w:r>
      <w:r w:rsidRPr="004714A7">
        <w:rPr>
          <w:rFonts w:ascii="Palatino Linotype" w:eastAsia="굴림" w:hAnsi="Palatino Linotype" w:cs="Times New Roman"/>
          <w:color w:val="0A0A0A"/>
          <w:kern w:val="0"/>
          <w:sz w:val="24"/>
          <w:szCs w:val="24"/>
          <w:vertAlign w:val="subscript"/>
        </w:rPr>
        <w:t>3</w:t>
      </w:r>
      <w:r w:rsidRPr="006068B6">
        <w:rPr>
          <w:rFonts w:ascii="Palatino Linotype" w:eastAsia="굴림" w:hAnsi="Palatino Linotype" w:cs="Times New Roman"/>
          <w:color w:val="0A0A0A"/>
          <w:kern w:val="0"/>
          <w:sz w:val="24"/>
          <w:szCs w:val="24"/>
        </w:rPr>
        <w:t xml:space="preserve"> depletion under NO</w:t>
      </w:r>
      <w:r w:rsidRPr="004714A7">
        <w:rPr>
          <w:rFonts w:ascii="Palatino Linotype" w:eastAsia="굴림" w:hAnsi="Palatino Linotype" w:cs="Times New Roman"/>
          <w:color w:val="0A0A0A"/>
          <w:kern w:val="0"/>
          <w:sz w:val="24"/>
          <w:szCs w:val="24"/>
          <w:vertAlign w:val="subscript"/>
        </w:rPr>
        <w:t>x</w:t>
      </w:r>
      <w:r w:rsidRPr="006068B6">
        <w:rPr>
          <w:rFonts w:ascii="Palatino Linotype" w:eastAsia="굴림" w:hAnsi="Palatino Linotype" w:cs="Times New Roman"/>
          <w:color w:val="0A0A0A"/>
          <w:kern w:val="0"/>
          <w:sz w:val="24"/>
          <w:szCs w:val="24"/>
        </w:rPr>
        <w:t>-sensitive conditions? I also wonder if the authors care to speculate about what might be effective emissions control strategies, given these results? Should urban NO</w:t>
      </w:r>
      <w:r w:rsidRPr="00D72693">
        <w:rPr>
          <w:rFonts w:ascii="Palatino Linotype" w:eastAsia="굴림" w:hAnsi="Palatino Linotype" w:cs="Times New Roman"/>
          <w:color w:val="0A0A0A"/>
          <w:kern w:val="0"/>
          <w:sz w:val="24"/>
          <w:szCs w:val="24"/>
          <w:vertAlign w:val="subscript"/>
        </w:rPr>
        <w:t>x</w:t>
      </w:r>
      <w:r w:rsidRPr="006068B6">
        <w:rPr>
          <w:rFonts w:ascii="Palatino Linotype" w:eastAsia="굴림" w:hAnsi="Palatino Linotype" w:cs="Times New Roman"/>
          <w:color w:val="0A0A0A"/>
          <w:kern w:val="0"/>
          <w:sz w:val="24"/>
          <w:szCs w:val="24"/>
        </w:rPr>
        <w:t xml:space="preserve"> emissions controls be stricter at night, for example? Or what if one used the prior model to make a policy recommendation — how incorrect might that have been, compared to using the posterior results</w:t>
      </w:r>
    </w:p>
    <w:p w14:paraId="068CFA05" w14:textId="77777777" w:rsidR="006068B6" w:rsidRDefault="006068B6" w:rsidP="001F3DCA">
      <w:pPr>
        <w:widowControl/>
        <w:wordWrap/>
        <w:autoSpaceDE/>
        <w:autoSpaceDN/>
        <w:rPr>
          <w:rFonts w:ascii="Palatino Linotype" w:eastAsia="굴림" w:hAnsi="Palatino Linotype" w:cs="Times New Roman"/>
          <w:color w:val="0A0A0A"/>
          <w:kern w:val="0"/>
          <w:sz w:val="24"/>
          <w:szCs w:val="24"/>
        </w:rPr>
      </w:pPr>
    </w:p>
    <w:p w14:paraId="2733FE79" w14:textId="77777777" w:rsidR="003905E2" w:rsidRDefault="001F3DCA" w:rsidP="003905E2">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Pr>
          <w:rFonts w:ascii="Palatino Linotype" w:hAnsi="Palatino Linotype" w:cs="Times New Roman"/>
          <w:sz w:val="24"/>
          <w:szCs w:val="28"/>
          <w:shd w:val="clear" w:color="auto" w:fill="FFFFFF"/>
        </w:rPr>
        <w:t xml:space="preserve"> </w:t>
      </w:r>
      <w:r w:rsidR="0063535C" w:rsidRPr="0063535C">
        <w:rPr>
          <w:rFonts w:ascii="Palatino Linotype" w:hAnsi="Palatino Linotype" w:cs="Times New Roman"/>
          <w:b/>
          <w:bCs/>
          <w:sz w:val="24"/>
          <w:szCs w:val="28"/>
          <w:shd w:val="clear" w:color="auto" w:fill="FFFFFF"/>
        </w:rPr>
        <w:t>Thank you for your insightful comments and for recognizing the value of our adjoint-based analysis. We fully agree that addressing these points significantly enhances the practical implications of our study.</w:t>
      </w:r>
    </w:p>
    <w:p w14:paraId="02047966" w14:textId="77777777" w:rsidR="006C0B33" w:rsidRDefault="006C0B33" w:rsidP="003905E2">
      <w:pPr>
        <w:widowControl/>
        <w:wordWrap/>
        <w:autoSpaceDE/>
        <w:autoSpaceDN/>
        <w:rPr>
          <w:rFonts w:ascii="Palatino Linotype" w:hAnsi="Palatino Linotype"/>
          <w:sz w:val="24"/>
          <w:szCs w:val="28"/>
        </w:rPr>
      </w:pPr>
    </w:p>
    <w:p w14:paraId="4EE4C62D" w14:textId="77777777" w:rsidR="0081002F" w:rsidRDefault="0081002F" w:rsidP="00224BAB">
      <w:pPr>
        <w:widowControl/>
        <w:wordWrap/>
        <w:autoSpaceDE/>
        <w:autoSpaceDN/>
        <w:rPr>
          <w:rFonts w:ascii="Palatino Linotype" w:eastAsia="굴림" w:hAnsi="Palatino Linotype" w:cs="Times New Roman"/>
          <w:b/>
          <w:bCs/>
          <w:color w:val="0A0A0A"/>
          <w:kern w:val="0"/>
          <w:sz w:val="24"/>
          <w:szCs w:val="24"/>
        </w:rPr>
      </w:pPr>
      <w:r w:rsidRPr="0081002F">
        <w:rPr>
          <w:rFonts w:ascii="Palatino Linotype" w:eastAsia="굴림" w:hAnsi="Palatino Linotype" w:cs="Times New Roman"/>
          <w:b/>
          <w:bCs/>
          <w:color w:val="0A0A0A"/>
          <w:kern w:val="0"/>
          <w:sz w:val="24"/>
          <w:szCs w:val="24"/>
        </w:rPr>
        <w:t>(1) Mechanism of nighttime VOC-induced O</w:t>
      </w:r>
      <w:r w:rsidRPr="0081002F">
        <w:rPr>
          <w:rFonts w:ascii="Palatino Linotype" w:eastAsia="굴림" w:hAnsi="Palatino Linotype" w:cs="Times New Roman"/>
          <w:b/>
          <w:bCs/>
          <w:color w:val="0A0A0A"/>
          <w:kern w:val="0"/>
          <w:sz w:val="24"/>
          <w:szCs w:val="24"/>
          <w:vertAlign w:val="subscript"/>
        </w:rPr>
        <w:t>3</w:t>
      </w:r>
      <w:r w:rsidRPr="0081002F">
        <w:rPr>
          <w:rFonts w:ascii="Palatino Linotype" w:eastAsia="굴림" w:hAnsi="Palatino Linotype" w:cs="Times New Roman"/>
          <w:b/>
          <w:bCs/>
          <w:color w:val="0A0A0A"/>
          <w:kern w:val="0"/>
          <w:sz w:val="24"/>
          <w:szCs w:val="24"/>
        </w:rPr>
        <w:t xml:space="preserve"> depletion under NO</w:t>
      </w:r>
      <w:r w:rsidRPr="0081002F">
        <w:rPr>
          <w:rFonts w:ascii="Palatino Linotype" w:eastAsia="굴림" w:hAnsi="Palatino Linotype" w:cs="Times New Roman"/>
          <w:b/>
          <w:bCs/>
          <w:color w:val="0A0A0A"/>
          <w:kern w:val="0"/>
          <w:sz w:val="24"/>
          <w:szCs w:val="24"/>
          <w:vertAlign w:val="subscript"/>
        </w:rPr>
        <w:t>x</w:t>
      </w:r>
      <w:r w:rsidRPr="0081002F">
        <w:rPr>
          <w:rFonts w:ascii="Palatino Linotype" w:eastAsia="굴림" w:hAnsi="Palatino Linotype" w:cs="Times New Roman"/>
          <w:b/>
          <w:bCs/>
          <w:color w:val="0A0A0A"/>
          <w:kern w:val="0"/>
          <w:sz w:val="24"/>
          <w:szCs w:val="24"/>
        </w:rPr>
        <w:t>-sensitive conditions</w:t>
      </w:r>
    </w:p>
    <w:p w14:paraId="7C6693EF" w14:textId="4593B71E" w:rsidR="00224BAB" w:rsidRPr="009E63CF" w:rsidRDefault="00224BAB" w:rsidP="00224BAB">
      <w:pPr>
        <w:widowControl/>
        <w:wordWrap/>
        <w:autoSpaceDE/>
        <w:autoSpaceDN/>
        <w:rPr>
          <w:rFonts w:ascii="Palatino Linotype" w:eastAsia="굴림" w:hAnsi="Palatino Linotype" w:cs="Times New Roman"/>
          <w:b/>
          <w:bCs/>
          <w:color w:val="0A0A0A"/>
          <w:kern w:val="0"/>
          <w:sz w:val="24"/>
          <w:szCs w:val="24"/>
        </w:rPr>
      </w:pPr>
      <w:r w:rsidRPr="009E63CF">
        <w:rPr>
          <w:rFonts w:ascii="Palatino Linotype" w:eastAsia="굴림" w:hAnsi="Palatino Linotype" w:cs="Times New Roman"/>
          <w:b/>
          <w:bCs/>
          <w:color w:val="0A0A0A"/>
          <w:kern w:val="0"/>
          <w:sz w:val="24"/>
          <w:szCs w:val="24"/>
        </w:rPr>
        <w:t>The slight O</w:t>
      </w:r>
      <w:r w:rsidRPr="009E63CF">
        <w:rPr>
          <w:rFonts w:ascii="Palatino Linotype" w:eastAsia="굴림" w:hAnsi="Palatino Linotype" w:cs="Times New Roman"/>
          <w:b/>
          <w:bCs/>
          <w:color w:val="0A0A0A"/>
          <w:kern w:val="0"/>
          <w:sz w:val="24"/>
          <w:szCs w:val="24"/>
          <w:vertAlign w:val="subscript"/>
        </w:rPr>
        <w:t>3</w:t>
      </w:r>
      <w:r w:rsidRPr="009E63CF">
        <w:rPr>
          <w:rFonts w:ascii="Palatino Linotype" w:eastAsia="굴림" w:hAnsi="Palatino Linotype" w:cs="Times New Roman"/>
          <w:b/>
          <w:bCs/>
          <w:color w:val="0A0A0A"/>
          <w:kern w:val="0"/>
          <w:sz w:val="24"/>
          <w:szCs w:val="24"/>
        </w:rPr>
        <w:t xml:space="preserve"> depletion (negative ΔO</w:t>
      </w:r>
      <w:r w:rsidRPr="009E63CF">
        <w:rPr>
          <w:rFonts w:ascii="Palatino Linotype" w:eastAsia="굴림" w:hAnsi="Palatino Linotype" w:cs="Times New Roman"/>
          <w:b/>
          <w:bCs/>
          <w:color w:val="0A0A0A"/>
          <w:kern w:val="0"/>
          <w:sz w:val="24"/>
          <w:szCs w:val="24"/>
          <w:vertAlign w:val="subscript"/>
        </w:rPr>
        <w:t>3</w:t>
      </w:r>
      <w:r w:rsidRPr="009E63CF">
        <w:rPr>
          <w:rFonts w:ascii="Palatino Linotype" w:eastAsia="굴림" w:hAnsi="Palatino Linotype" w:cs="Times New Roman"/>
          <w:b/>
          <w:bCs/>
          <w:color w:val="0A0A0A"/>
          <w:kern w:val="0"/>
          <w:sz w:val="24"/>
          <w:szCs w:val="24"/>
        </w:rPr>
        <w:t xml:space="preserve"> response) caused by VOC emissions under NO</w:t>
      </w:r>
      <w:r w:rsidRPr="009E63CF">
        <w:rPr>
          <w:rFonts w:ascii="Palatino Linotype" w:eastAsia="굴림" w:hAnsi="Palatino Linotype" w:cs="Times New Roman"/>
          <w:b/>
          <w:bCs/>
          <w:color w:val="0A0A0A"/>
          <w:kern w:val="0"/>
          <w:sz w:val="24"/>
          <w:szCs w:val="24"/>
          <w:vertAlign w:val="subscript"/>
        </w:rPr>
        <w:t>x</w:t>
      </w:r>
      <w:r w:rsidRPr="009E63CF">
        <w:rPr>
          <w:rFonts w:ascii="Palatino Linotype" w:eastAsia="굴림" w:hAnsi="Palatino Linotype" w:cs="Times New Roman"/>
          <w:b/>
          <w:bCs/>
          <w:color w:val="0A0A0A"/>
          <w:kern w:val="0"/>
          <w:sz w:val="24"/>
          <w:szCs w:val="24"/>
        </w:rPr>
        <w:t>-sensitive conditions occurs primarily during the nighttime. To explicitly demonstrate this, we further separated the VOC sensitivity into anthropogenic VOC (AVOC) and biogenic VOC (BVOC) contributions, as now shown in Fig. S7. The results show that both AVOC and BVOC contribute to O</w:t>
      </w:r>
      <w:r w:rsidRPr="009E63CF">
        <w:rPr>
          <w:rFonts w:ascii="Palatino Linotype" w:eastAsia="굴림" w:hAnsi="Palatino Linotype" w:cs="Times New Roman"/>
          <w:b/>
          <w:bCs/>
          <w:color w:val="0A0A0A"/>
          <w:kern w:val="0"/>
          <w:sz w:val="24"/>
          <w:szCs w:val="24"/>
          <w:vertAlign w:val="subscript"/>
        </w:rPr>
        <w:t>3</w:t>
      </w:r>
      <w:r w:rsidRPr="009E63CF">
        <w:rPr>
          <w:rFonts w:ascii="Palatino Linotype" w:eastAsia="굴림" w:hAnsi="Palatino Linotype" w:cs="Times New Roman"/>
          <w:b/>
          <w:bCs/>
          <w:color w:val="0A0A0A"/>
          <w:kern w:val="0"/>
          <w:sz w:val="24"/>
          <w:szCs w:val="24"/>
        </w:rPr>
        <w:t xml:space="preserve"> production in the VOC-sensitive regime. In contrast, under NO</w:t>
      </w:r>
      <w:r w:rsidRPr="009E63CF">
        <w:rPr>
          <w:rFonts w:ascii="Palatino Linotype" w:eastAsia="굴림" w:hAnsi="Palatino Linotype" w:cs="Times New Roman"/>
          <w:b/>
          <w:bCs/>
          <w:color w:val="0A0A0A"/>
          <w:kern w:val="0"/>
          <w:sz w:val="24"/>
          <w:szCs w:val="24"/>
          <w:vertAlign w:val="subscript"/>
        </w:rPr>
        <w:t>x</w:t>
      </w:r>
      <w:r w:rsidRPr="009E63CF">
        <w:rPr>
          <w:rFonts w:ascii="Palatino Linotype" w:eastAsia="굴림" w:hAnsi="Palatino Linotype" w:cs="Times New Roman"/>
          <w:b/>
          <w:bCs/>
          <w:color w:val="0A0A0A"/>
          <w:kern w:val="0"/>
          <w:sz w:val="24"/>
          <w:szCs w:val="24"/>
        </w:rPr>
        <w:t>-sensitive conditions, the negative nighttime response is mainly associated with the BVOC category, suggesting that reactive biogenic species can act as an O</w:t>
      </w:r>
      <w:r w:rsidRPr="009E63CF">
        <w:rPr>
          <w:rFonts w:ascii="Palatino Linotype" w:eastAsia="굴림" w:hAnsi="Palatino Linotype" w:cs="Times New Roman"/>
          <w:b/>
          <w:bCs/>
          <w:color w:val="0A0A0A"/>
          <w:kern w:val="0"/>
          <w:sz w:val="24"/>
          <w:szCs w:val="24"/>
          <w:vertAlign w:val="subscript"/>
        </w:rPr>
        <w:t>3</w:t>
      </w:r>
      <w:r w:rsidRPr="009E63CF">
        <w:rPr>
          <w:rFonts w:ascii="Palatino Linotype" w:eastAsia="굴림" w:hAnsi="Palatino Linotype" w:cs="Times New Roman"/>
          <w:b/>
          <w:bCs/>
          <w:color w:val="0A0A0A"/>
          <w:kern w:val="0"/>
          <w:sz w:val="24"/>
          <w:szCs w:val="24"/>
        </w:rPr>
        <w:t xml:space="preserve"> sink during nighttime.</w:t>
      </w:r>
    </w:p>
    <w:p w14:paraId="2E034654" w14:textId="2283C8BF" w:rsidR="00224BAB" w:rsidRDefault="00224BAB" w:rsidP="00224BAB">
      <w:pPr>
        <w:widowControl/>
        <w:wordWrap/>
        <w:autoSpaceDE/>
        <w:autoSpaceDN/>
        <w:rPr>
          <w:rFonts w:ascii="Palatino Linotype" w:eastAsia="굴림" w:hAnsi="Palatino Linotype" w:cs="Times New Roman"/>
          <w:b/>
          <w:bCs/>
          <w:color w:val="0A0A0A"/>
          <w:kern w:val="0"/>
          <w:sz w:val="24"/>
          <w:szCs w:val="24"/>
        </w:rPr>
      </w:pPr>
      <w:r w:rsidRPr="009E63CF">
        <w:rPr>
          <w:rFonts w:ascii="Palatino Linotype" w:eastAsia="굴림" w:hAnsi="Palatino Linotype" w:cs="Times New Roman"/>
          <w:b/>
          <w:bCs/>
          <w:color w:val="0A0A0A"/>
          <w:kern w:val="0"/>
          <w:sz w:val="24"/>
          <w:szCs w:val="24"/>
        </w:rPr>
        <w:t>The chemical mechanism driving this response is direct ozonolysis. In our domain, NO</w:t>
      </w:r>
      <w:r w:rsidRPr="009E63CF">
        <w:rPr>
          <w:rFonts w:ascii="Palatino Linotype" w:eastAsia="굴림" w:hAnsi="Palatino Linotype" w:cs="Times New Roman"/>
          <w:b/>
          <w:bCs/>
          <w:color w:val="0A0A0A"/>
          <w:kern w:val="0"/>
          <w:sz w:val="24"/>
          <w:szCs w:val="24"/>
          <w:vertAlign w:val="subscript"/>
        </w:rPr>
        <w:t>x</w:t>
      </w:r>
      <w:r w:rsidRPr="009E63CF">
        <w:rPr>
          <w:rFonts w:ascii="Palatino Linotype" w:eastAsia="굴림" w:hAnsi="Palatino Linotype" w:cs="Times New Roman"/>
          <w:b/>
          <w:bCs/>
          <w:color w:val="0A0A0A"/>
          <w:kern w:val="0"/>
          <w:sz w:val="24"/>
          <w:szCs w:val="24"/>
        </w:rPr>
        <w:t xml:space="preserve">-sensitive regimes are often associated with vegetated areas where BVOC emissions can be substantial. Under nighttime conditions, when sunlight is </w:t>
      </w:r>
      <w:r w:rsidRPr="009E63CF">
        <w:rPr>
          <w:rFonts w:ascii="Palatino Linotype" w:eastAsia="굴림" w:hAnsi="Palatino Linotype" w:cs="Times New Roman"/>
          <w:b/>
          <w:bCs/>
          <w:color w:val="0A0A0A"/>
          <w:kern w:val="0"/>
          <w:sz w:val="24"/>
          <w:szCs w:val="24"/>
        </w:rPr>
        <w:lastRenderedPageBreak/>
        <w:t>unavailable to drive NO</w:t>
      </w:r>
      <w:r w:rsidRPr="009E63CF">
        <w:rPr>
          <w:rFonts w:ascii="Palatino Linotype" w:eastAsia="굴림" w:hAnsi="Palatino Linotype" w:cs="Times New Roman"/>
          <w:b/>
          <w:bCs/>
          <w:color w:val="0A0A0A"/>
          <w:kern w:val="0"/>
          <w:sz w:val="24"/>
          <w:szCs w:val="24"/>
          <w:vertAlign w:val="subscript"/>
        </w:rPr>
        <w:t>2</w:t>
      </w:r>
      <w:r w:rsidRPr="009E63CF">
        <w:rPr>
          <w:rFonts w:ascii="Palatino Linotype" w:eastAsia="굴림" w:hAnsi="Palatino Linotype" w:cs="Times New Roman"/>
          <w:b/>
          <w:bCs/>
          <w:color w:val="0A0A0A"/>
          <w:kern w:val="0"/>
          <w:sz w:val="24"/>
          <w:szCs w:val="24"/>
        </w:rPr>
        <w:t xml:space="preserve"> photolysis and regenerate O</w:t>
      </w:r>
      <w:r w:rsidRPr="009E63CF">
        <w:rPr>
          <w:rFonts w:ascii="Palatino Linotype" w:eastAsia="굴림" w:hAnsi="Palatino Linotype" w:cs="Times New Roman"/>
          <w:b/>
          <w:bCs/>
          <w:color w:val="0A0A0A"/>
          <w:kern w:val="0"/>
          <w:sz w:val="24"/>
          <w:szCs w:val="24"/>
          <w:vertAlign w:val="subscript"/>
        </w:rPr>
        <w:t>3</w:t>
      </w:r>
      <w:r w:rsidRPr="009E63CF">
        <w:rPr>
          <w:rFonts w:ascii="Palatino Linotype" w:eastAsia="굴림" w:hAnsi="Palatino Linotype" w:cs="Times New Roman"/>
          <w:b/>
          <w:bCs/>
          <w:color w:val="0A0A0A"/>
          <w:kern w:val="0"/>
          <w:sz w:val="24"/>
          <w:szCs w:val="24"/>
        </w:rPr>
        <w:t>, reactive unsaturated VOCs represented within the BVOC category can react directly with O</w:t>
      </w:r>
      <w:r w:rsidRPr="009E63CF">
        <w:rPr>
          <w:rFonts w:ascii="Palatino Linotype" w:eastAsia="굴림" w:hAnsi="Palatino Linotype" w:cs="Times New Roman"/>
          <w:b/>
          <w:bCs/>
          <w:color w:val="0A0A0A"/>
          <w:kern w:val="0"/>
          <w:sz w:val="24"/>
          <w:szCs w:val="24"/>
          <w:vertAlign w:val="subscript"/>
        </w:rPr>
        <w:t>3</w:t>
      </w:r>
      <w:r w:rsidRPr="009E63CF">
        <w:rPr>
          <w:rFonts w:ascii="Palatino Linotype" w:eastAsia="굴림" w:hAnsi="Palatino Linotype" w:cs="Times New Roman"/>
          <w:b/>
          <w:bCs/>
          <w:color w:val="0A0A0A"/>
          <w:kern w:val="0"/>
          <w:sz w:val="24"/>
          <w:szCs w:val="24"/>
        </w:rPr>
        <w:t xml:space="preserve"> and act as net gas-phase chemical sinks, leading to O</w:t>
      </w:r>
      <w:r w:rsidRPr="00986AAB">
        <w:rPr>
          <w:rFonts w:ascii="Palatino Linotype" w:eastAsia="굴림" w:hAnsi="Palatino Linotype" w:cs="Times New Roman"/>
          <w:b/>
          <w:bCs/>
          <w:color w:val="0A0A0A"/>
          <w:kern w:val="0"/>
          <w:sz w:val="24"/>
          <w:szCs w:val="24"/>
          <w:vertAlign w:val="subscript"/>
        </w:rPr>
        <w:t>3</w:t>
      </w:r>
      <w:r w:rsidRPr="009E63CF">
        <w:rPr>
          <w:rFonts w:ascii="Palatino Linotype" w:eastAsia="굴림" w:hAnsi="Palatino Linotype" w:cs="Times New Roman"/>
          <w:b/>
          <w:bCs/>
          <w:color w:val="0A0A0A"/>
          <w:kern w:val="0"/>
          <w:sz w:val="24"/>
          <w:szCs w:val="24"/>
        </w:rPr>
        <w:t xml:space="preserve"> depletion. Such VOC-O</w:t>
      </w:r>
      <w:r w:rsidRPr="009E63CF">
        <w:rPr>
          <w:rFonts w:ascii="Palatino Linotype" w:eastAsia="굴림" w:hAnsi="Palatino Linotype" w:cs="Times New Roman"/>
          <w:b/>
          <w:bCs/>
          <w:color w:val="0A0A0A"/>
          <w:kern w:val="0"/>
          <w:sz w:val="24"/>
          <w:szCs w:val="24"/>
          <w:vertAlign w:val="subscript"/>
        </w:rPr>
        <w:t>3</w:t>
      </w:r>
      <w:r w:rsidRPr="009E63CF">
        <w:rPr>
          <w:rFonts w:ascii="Palatino Linotype" w:eastAsia="굴림" w:hAnsi="Palatino Linotype" w:cs="Times New Roman"/>
          <w:b/>
          <w:bCs/>
          <w:color w:val="0A0A0A"/>
          <w:kern w:val="0"/>
          <w:sz w:val="24"/>
          <w:szCs w:val="24"/>
        </w:rPr>
        <w:t xml:space="preserve"> reactions are well established in gas-phase tropospheric chemistry, and forest observations have shown that gas-phase reactions involving biogenic hydrocarbons can represent an important O</w:t>
      </w:r>
      <w:r w:rsidRPr="009E63CF">
        <w:rPr>
          <w:rFonts w:ascii="Palatino Linotype" w:eastAsia="굴림" w:hAnsi="Palatino Linotype" w:cs="Times New Roman"/>
          <w:b/>
          <w:bCs/>
          <w:color w:val="0A0A0A"/>
          <w:kern w:val="0"/>
          <w:sz w:val="24"/>
          <w:szCs w:val="24"/>
          <w:vertAlign w:val="subscript"/>
        </w:rPr>
        <w:t>3</w:t>
      </w:r>
      <w:r w:rsidRPr="009E63CF">
        <w:rPr>
          <w:rFonts w:ascii="Palatino Linotype" w:eastAsia="굴림" w:hAnsi="Palatino Linotype" w:cs="Times New Roman"/>
          <w:b/>
          <w:bCs/>
          <w:color w:val="0A0A0A"/>
          <w:kern w:val="0"/>
          <w:sz w:val="24"/>
          <w:szCs w:val="24"/>
        </w:rPr>
        <w:t xml:space="preserve"> loss pathway (Atkinson and </w:t>
      </w:r>
      <w:proofErr w:type="spellStart"/>
      <w:r w:rsidRPr="009E63CF">
        <w:rPr>
          <w:rFonts w:ascii="Palatino Linotype" w:eastAsia="굴림" w:hAnsi="Palatino Linotype" w:cs="Times New Roman"/>
          <w:b/>
          <w:bCs/>
          <w:color w:val="0A0A0A"/>
          <w:kern w:val="0"/>
          <w:sz w:val="24"/>
          <w:szCs w:val="24"/>
        </w:rPr>
        <w:t>Arey</w:t>
      </w:r>
      <w:proofErr w:type="spellEnd"/>
      <w:r w:rsidRPr="009E63CF">
        <w:rPr>
          <w:rFonts w:ascii="Palatino Linotype" w:eastAsia="굴림" w:hAnsi="Palatino Linotype" w:cs="Times New Roman"/>
          <w:b/>
          <w:bCs/>
          <w:color w:val="0A0A0A"/>
          <w:kern w:val="0"/>
          <w:sz w:val="24"/>
          <w:szCs w:val="24"/>
        </w:rPr>
        <w:t xml:space="preserve">, 2003; </w:t>
      </w:r>
      <w:proofErr w:type="spellStart"/>
      <w:r w:rsidRPr="009E63CF">
        <w:rPr>
          <w:rFonts w:ascii="Palatino Linotype" w:eastAsia="굴림" w:hAnsi="Palatino Linotype" w:cs="Times New Roman"/>
          <w:b/>
          <w:bCs/>
          <w:color w:val="0A0A0A"/>
          <w:kern w:val="0"/>
          <w:sz w:val="24"/>
          <w:szCs w:val="24"/>
        </w:rPr>
        <w:t>Kurpius</w:t>
      </w:r>
      <w:proofErr w:type="spellEnd"/>
      <w:r w:rsidRPr="009E63CF">
        <w:rPr>
          <w:rFonts w:ascii="Palatino Linotype" w:eastAsia="굴림" w:hAnsi="Palatino Linotype" w:cs="Times New Roman"/>
          <w:b/>
          <w:bCs/>
          <w:color w:val="0A0A0A"/>
          <w:kern w:val="0"/>
          <w:sz w:val="24"/>
          <w:szCs w:val="24"/>
        </w:rPr>
        <w:t xml:space="preserve"> and Goldstein, 2003).</w:t>
      </w:r>
      <w:r w:rsidR="007E3F9D">
        <w:rPr>
          <w:rFonts w:ascii="Palatino Linotype" w:eastAsia="굴림" w:hAnsi="Palatino Linotype" w:cs="Times New Roman" w:hint="eastAsia"/>
          <w:b/>
          <w:bCs/>
          <w:color w:val="0A0A0A"/>
          <w:kern w:val="0"/>
          <w:sz w:val="24"/>
          <w:szCs w:val="24"/>
        </w:rPr>
        <w:t xml:space="preserve"> </w:t>
      </w:r>
      <w:r w:rsidR="007E3F9D" w:rsidRPr="007E3F9D">
        <w:rPr>
          <w:rFonts w:ascii="Palatino Linotype" w:eastAsia="굴림" w:hAnsi="Palatino Linotype" w:cs="Times New Roman"/>
          <w:b/>
          <w:bCs/>
          <w:color w:val="0A0A0A"/>
          <w:kern w:val="0"/>
          <w:sz w:val="24"/>
          <w:szCs w:val="24"/>
        </w:rPr>
        <w:t>Accordingly, we have added Fig. S7 to the Supplementary Information and expanded the discussion of this nighttime BVOC-related O</w:t>
      </w:r>
      <w:r w:rsidR="007E3F9D" w:rsidRPr="00836015">
        <w:rPr>
          <w:rFonts w:ascii="Palatino Linotype" w:eastAsia="굴림" w:hAnsi="Palatino Linotype" w:cs="Times New Roman"/>
          <w:b/>
          <w:bCs/>
          <w:color w:val="0A0A0A"/>
          <w:kern w:val="0"/>
          <w:sz w:val="24"/>
          <w:szCs w:val="24"/>
          <w:vertAlign w:val="subscript"/>
        </w:rPr>
        <w:t>3</w:t>
      </w:r>
      <w:r w:rsidR="007E3F9D" w:rsidRPr="007E3F9D">
        <w:rPr>
          <w:rFonts w:ascii="Palatino Linotype" w:eastAsia="굴림" w:hAnsi="Palatino Linotype" w:cs="Times New Roman"/>
          <w:b/>
          <w:bCs/>
          <w:color w:val="0A0A0A"/>
          <w:kern w:val="0"/>
          <w:sz w:val="24"/>
          <w:szCs w:val="24"/>
        </w:rPr>
        <w:t xml:space="preserve"> sink in Section 3.4.</w:t>
      </w:r>
    </w:p>
    <w:p w14:paraId="59320B97" w14:textId="77777777" w:rsidR="00FF7507" w:rsidRPr="007E3F9D" w:rsidRDefault="00FF7507" w:rsidP="00224BAB">
      <w:pPr>
        <w:widowControl/>
        <w:wordWrap/>
        <w:autoSpaceDE/>
        <w:autoSpaceDN/>
        <w:rPr>
          <w:rFonts w:ascii="Palatino Linotype" w:eastAsia="굴림" w:hAnsi="Palatino Linotype" w:cs="Times New Roman"/>
          <w:b/>
          <w:bCs/>
          <w:color w:val="0A0A0A"/>
          <w:kern w:val="0"/>
          <w:sz w:val="24"/>
          <w:szCs w:val="24"/>
        </w:rPr>
      </w:pPr>
    </w:p>
    <w:p w14:paraId="44DC2A96" w14:textId="2125FC87" w:rsidR="00F42D9F" w:rsidRPr="00C87BD9" w:rsidRDefault="00F42D9F" w:rsidP="00F42D9F">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4</w:t>
      </w:r>
      <w:r w:rsidRPr="00964E09">
        <w:rPr>
          <w:rFonts w:ascii="Palatino Linotype" w:hAnsi="Palatino Linotype" w:cs="Times New Roman"/>
          <w:i/>
          <w:color w:val="0A0A0A"/>
          <w:sz w:val="24"/>
          <w:szCs w:val="24"/>
          <w:shd w:val="clear" w:color="auto" w:fill="FEFEFE"/>
        </w:rPr>
        <w:t xml:space="preserve"> in the revised manuscript&gt;</w:t>
      </w:r>
    </w:p>
    <w:p w14:paraId="3BDAAA3C" w14:textId="29FCD200" w:rsidR="00C54A67" w:rsidRDefault="00F42D9F" w:rsidP="009B572B">
      <w:pPr>
        <w:widowControl/>
        <w:wordWrap/>
        <w:autoSpaceDE/>
        <w:autoSpaceDN/>
        <w:spacing w:line="276" w:lineRule="auto"/>
        <w:rPr>
          <w:rFonts w:ascii="Palatino Linotype" w:hAnsi="Palatino Linotype" w:cs="Times New Roman"/>
          <w:i/>
          <w:iCs/>
          <w:sz w:val="24"/>
          <w:szCs w:val="28"/>
          <w:shd w:val="clear" w:color="auto" w:fill="FFFFFF"/>
        </w:rPr>
      </w:pPr>
      <w:r w:rsidRPr="00F42D9F">
        <w:rPr>
          <w:rFonts w:ascii="Palatino Linotype" w:hAnsi="Palatino Linotype" w:cs="Times New Roman"/>
          <w:i/>
          <w:iCs/>
          <w:sz w:val="24"/>
          <w:szCs w:val="28"/>
          <w:shd w:val="clear" w:color="auto" w:fill="FFFFFF"/>
        </w:rPr>
        <w:t>A slight negative VOC response also appears during nighttime under NO</w:t>
      </w:r>
      <w:r w:rsidRPr="00F42D9F">
        <w:rPr>
          <w:rFonts w:ascii="Palatino Linotype" w:hAnsi="Palatino Linotype" w:cs="Times New Roman"/>
          <w:i/>
          <w:iCs/>
          <w:sz w:val="24"/>
          <w:szCs w:val="28"/>
          <w:shd w:val="clear" w:color="auto" w:fill="FFFFFF"/>
          <w:vertAlign w:val="subscript"/>
        </w:rPr>
        <w:t>x</w:t>
      </w:r>
      <w:r w:rsidRPr="00F42D9F">
        <w:rPr>
          <w:rFonts w:ascii="Palatino Linotype" w:hAnsi="Palatino Linotype" w:cs="Times New Roman"/>
          <w:i/>
          <w:iCs/>
          <w:sz w:val="24"/>
          <w:szCs w:val="28"/>
          <w:shd w:val="clear" w:color="auto" w:fill="FFFFFF"/>
        </w:rPr>
        <w:t>-sensitive conditions. To clarify this response, we further separated the VOC sensitivity into AVOC and BVOC contributions (Fig. S7). The results indicate that this nighttime O</w:t>
      </w:r>
      <w:r w:rsidRPr="00F42D9F">
        <w:rPr>
          <w:rFonts w:ascii="Palatino Linotype" w:hAnsi="Palatino Linotype" w:cs="Times New Roman"/>
          <w:i/>
          <w:iCs/>
          <w:sz w:val="24"/>
          <w:szCs w:val="28"/>
          <w:shd w:val="clear" w:color="auto" w:fill="FFFFFF"/>
          <w:vertAlign w:val="subscript"/>
        </w:rPr>
        <w:t>3</w:t>
      </w:r>
      <w:r w:rsidRPr="00F42D9F">
        <w:rPr>
          <w:rFonts w:ascii="Palatino Linotype" w:hAnsi="Palatino Linotype" w:cs="Times New Roman"/>
          <w:i/>
          <w:iCs/>
          <w:sz w:val="24"/>
          <w:szCs w:val="28"/>
          <w:shd w:val="clear" w:color="auto" w:fill="FFFFFF"/>
        </w:rPr>
        <w:t xml:space="preserve"> decrease is mainly associated with the BVOC category. This response can be explained by direct ozonolysis of reactive unsaturated VOC species represented within the BVOC category. Under nighttime conditions, when NO</w:t>
      </w:r>
      <w:r w:rsidRPr="00F42D9F">
        <w:rPr>
          <w:rFonts w:ascii="Palatino Linotype" w:hAnsi="Palatino Linotype" w:cs="Times New Roman"/>
          <w:i/>
          <w:iCs/>
          <w:sz w:val="24"/>
          <w:szCs w:val="28"/>
          <w:shd w:val="clear" w:color="auto" w:fill="FFFFFF"/>
          <w:vertAlign w:val="subscript"/>
        </w:rPr>
        <w:t>2</w:t>
      </w:r>
      <w:r w:rsidRPr="00F42D9F">
        <w:rPr>
          <w:rFonts w:ascii="Palatino Linotype" w:hAnsi="Palatino Linotype" w:cs="Times New Roman"/>
          <w:i/>
          <w:iCs/>
          <w:sz w:val="24"/>
          <w:szCs w:val="28"/>
          <w:shd w:val="clear" w:color="auto" w:fill="FFFFFF"/>
        </w:rPr>
        <w:t xml:space="preserve"> photolysis and photochemical O</w:t>
      </w:r>
      <w:r w:rsidRPr="00F42D9F">
        <w:rPr>
          <w:rFonts w:ascii="Palatino Linotype" w:hAnsi="Palatino Linotype" w:cs="Times New Roman"/>
          <w:i/>
          <w:iCs/>
          <w:sz w:val="24"/>
          <w:szCs w:val="28"/>
          <w:shd w:val="clear" w:color="auto" w:fill="FFFFFF"/>
          <w:vertAlign w:val="subscript"/>
        </w:rPr>
        <w:t>3</w:t>
      </w:r>
      <w:r w:rsidRPr="00F42D9F">
        <w:rPr>
          <w:rFonts w:ascii="Palatino Linotype" w:hAnsi="Palatino Linotype" w:cs="Times New Roman"/>
          <w:i/>
          <w:iCs/>
          <w:sz w:val="24"/>
          <w:szCs w:val="28"/>
          <w:shd w:val="clear" w:color="auto" w:fill="FFFFFF"/>
        </w:rPr>
        <w:t xml:space="preserve"> production are suppressed, reactions between O</w:t>
      </w:r>
      <w:r w:rsidRPr="00F42D9F">
        <w:rPr>
          <w:rFonts w:ascii="Palatino Linotype" w:hAnsi="Palatino Linotype" w:cs="Times New Roman"/>
          <w:i/>
          <w:iCs/>
          <w:sz w:val="24"/>
          <w:szCs w:val="28"/>
          <w:shd w:val="clear" w:color="auto" w:fill="FFFFFF"/>
          <w:vertAlign w:val="subscript"/>
        </w:rPr>
        <w:t>3</w:t>
      </w:r>
      <w:r w:rsidRPr="00F42D9F">
        <w:rPr>
          <w:rFonts w:ascii="Palatino Linotype" w:hAnsi="Palatino Linotype" w:cs="Times New Roman"/>
          <w:i/>
          <w:iCs/>
          <w:sz w:val="24"/>
          <w:szCs w:val="28"/>
          <w:shd w:val="clear" w:color="auto" w:fill="FFFFFF"/>
        </w:rPr>
        <w:t xml:space="preserve"> and reactive VOC species can act as a net gas-phase O</w:t>
      </w:r>
      <w:r w:rsidRPr="00F42D9F">
        <w:rPr>
          <w:rFonts w:ascii="Palatino Linotype" w:hAnsi="Palatino Linotype" w:cs="Times New Roman"/>
          <w:i/>
          <w:iCs/>
          <w:sz w:val="24"/>
          <w:szCs w:val="28"/>
          <w:shd w:val="clear" w:color="auto" w:fill="FFFFFF"/>
          <w:vertAlign w:val="subscript"/>
        </w:rPr>
        <w:t>3</w:t>
      </w:r>
      <w:r w:rsidRPr="00F42D9F">
        <w:rPr>
          <w:rFonts w:ascii="Palatino Linotype" w:hAnsi="Palatino Linotype" w:cs="Times New Roman"/>
          <w:i/>
          <w:iCs/>
          <w:sz w:val="24"/>
          <w:szCs w:val="28"/>
          <w:shd w:val="clear" w:color="auto" w:fill="FFFFFF"/>
        </w:rPr>
        <w:t xml:space="preserve"> sink, leading to O</w:t>
      </w:r>
      <w:r w:rsidRPr="00F42D9F">
        <w:rPr>
          <w:rFonts w:ascii="Palatino Linotype" w:hAnsi="Palatino Linotype" w:cs="Times New Roman"/>
          <w:i/>
          <w:iCs/>
          <w:sz w:val="24"/>
          <w:szCs w:val="28"/>
          <w:shd w:val="clear" w:color="auto" w:fill="FFFFFF"/>
          <w:vertAlign w:val="subscript"/>
        </w:rPr>
        <w:t>3</w:t>
      </w:r>
      <w:r w:rsidRPr="00F42D9F">
        <w:rPr>
          <w:rFonts w:ascii="Palatino Linotype" w:hAnsi="Palatino Linotype" w:cs="Times New Roman"/>
          <w:i/>
          <w:iCs/>
          <w:sz w:val="24"/>
          <w:szCs w:val="28"/>
          <w:shd w:val="clear" w:color="auto" w:fill="FFFFFF"/>
        </w:rPr>
        <w:t xml:space="preserve"> depletion. </w:t>
      </w:r>
      <w:r w:rsidR="00917C3D" w:rsidRPr="00917C3D">
        <w:rPr>
          <w:rFonts w:ascii="Palatino Linotype" w:hAnsi="Palatino Linotype" w:cs="Times New Roman"/>
          <w:i/>
          <w:iCs/>
          <w:sz w:val="24"/>
          <w:szCs w:val="28"/>
          <w:shd w:val="clear" w:color="auto" w:fill="FFFFFF"/>
        </w:rPr>
        <w:t>Previous laboratory and field studies provide a chemical basis for this interpretation, showing that reactive BVOCs can undergo ozonolysis and that gas-phase reactions involving biogenic hydrocarbons can contribute to O</w:t>
      </w:r>
      <w:r w:rsidR="00917C3D" w:rsidRPr="00917C3D">
        <w:rPr>
          <w:rFonts w:ascii="Palatino Linotype" w:hAnsi="Palatino Linotype" w:cs="Times New Roman"/>
          <w:i/>
          <w:iCs/>
          <w:sz w:val="24"/>
          <w:szCs w:val="28"/>
          <w:shd w:val="clear" w:color="auto" w:fill="FFFFFF"/>
          <w:vertAlign w:val="subscript"/>
        </w:rPr>
        <w:t>3</w:t>
      </w:r>
      <w:r w:rsidR="00917C3D" w:rsidRPr="00917C3D">
        <w:rPr>
          <w:rFonts w:ascii="Palatino Linotype" w:hAnsi="Palatino Linotype" w:cs="Times New Roman"/>
          <w:i/>
          <w:iCs/>
          <w:sz w:val="24"/>
          <w:szCs w:val="28"/>
          <w:shd w:val="clear" w:color="auto" w:fill="FFFFFF"/>
        </w:rPr>
        <w:t xml:space="preserve"> loss in forest environments (Atkinson and </w:t>
      </w:r>
      <w:proofErr w:type="spellStart"/>
      <w:r w:rsidR="00917C3D" w:rsidRPr="00917C3D">
        <w:rPr>
          <w:rFonts w:ascii="Palatino Linotype" w:hAnsi="Palatino Linotype" w:cs="Times New Roman"/>
          <w:i/>
          <w:iCs/>
          <w:sz w:val="24"/>
          <w:szCs w:val="28"/>
          <w:shd w:val="clear" w:color="auto" w:fill="FFFFFF"/>
        </w:rPr>
        <w:t>Arey</w:t>
      </w:r>
      <w:proofErr w:type="spellEnd"/>
      <w:r w:rsidR="00917C3D" w:rsidRPr="00917C3D">
        <w:rPr>
          <w:rFonts w:ascii="Palatino Linotype" w:hAnsi="Palatino Linotype" w:cs="Times New Roman"/>
          <w:i/>
          <w:iCs/>
          <w:sz w:val="24"/>
          <w:szCs w:val="28"/>
          <w:shd w:val="clear" w:color="auto" w:fill="FFFFFF"/>
        </w:rPr>
        <w:t xml:space="preserve">, 2003; </w:t>
      </w:r>
      <w:proofErr w:type="spellStart"/>
      <w:r w:rsidR="00917C3D" w:rsidRPr="00917C3D">
        <w:rPr>
          <w:rFonts w:ascii="Palatino Linotype" w:hAnsi="Palatino Linotype" w:cs="Times New Roman"/>
          <w:i/>
          <w:iCs/>
          <w:sz w:val="24"/>
          <w:szCs w:val="28"/>
          <w:shd w:val="clear" w:color="auto" w:fill="FFFFFF"/>
        </w:rPr>
        <w:t>Kurpius</w:t>
      </w:r>
      <w:proofErr w:type="spellEnd"/>
      <w:r w:rsidR="00917C3D" w:rsidRPr="00917C3D">
        <w:rPr>
          <w:rFonts w:ascii="Palatino Linotype" w:hAnsi="Palatino Linotype" w:cs="Times New Roman"/>
          <w:i/>
          <w:iCs/>
          <w:sz w:val="24"/>
          <w:szCs w:val="28"/>
          <w:shd w:val="clear" w:color="auto" w:fill="FFFFFF"/>
        </w:rPr>
        <w:t xml:space="preserve"> and Goldstein, 2003).</w:t>
      </w:r>
    </w:p>
    <w:p w14:paraId="4878910B" w14:textId="77777777" w:rsidR="00162733" w:rsidRDefault="00162733" w:rsidP="009B572B">
      <w:pPr>
        <w:widowControl/>
        <w:wordWrap/>
        <w:autoSpaceDE/>
        <w:autoSpaceDN/>
        <w:spacing w:line="276" w:lineRule="auto"/>
        <w:rPr>
          <w:rFonts w:ascii="Palatino Linotype" w:hAnsi="Palatino Linotype" w:cs="Times New Roman"/>
          <w:i/>
          <w:iCs/>
          <w:sz w:val="24"/>
          <w:szCs w:val="28"/>
          <w:shd w:val="clear" w:color="auto" w:fill="FFFFFF"/>
        </w:rPr>
      </w:pPr>
    </w:p>
    <w:p w14:paraId="0A8CA98E" w14:textId="77777777" w:rsidR="00162733" w:rsidRPr="008D5190" w:rsidRDefault="00162733" w:rsidP="00162733">
      <w:pPr>
        <w:keepNext/>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8D5190">
        <w:rPr>
          <w:rFonts w:ascii="Times New Roman" w:eastAsia="Times New Roman" w:hAnsi="Times New Roman" w:cs="Times New Roman"/>
          <w:b/>
          <w:bCs/>
          <w:noProof/>
          <w:kern w:val="0"/>
          <w:sz w:val="18"/>
          <w:szCs w:val="18"/>
          <w:lang w:val="en-GB" w:eastAsia="de-DE"/>
        </w:rPr>
        <w:drawing>
          <wp:inline distT="0" distB="0" distL="0" distR="0" wp14:anchorId="38C84408" wp14:editId="75E6AA0A">
            <wp:extent cx="5702060" cy="1534964"/>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2273" cy="1545789"/>
                    </a:xfrm>
                    <a:prstGeom prst="rect">
                      <a:avLst/>
                    </a:prstGeom>
                    <a:noFill/>
                  </pic:spPr>
                </pic:pic>
              </a:graphicData>
            </a:graphic>
          </wp:inline>
        </w:drawing>
      </w:r>
    </w:p>
    <w:p w14:paraId="515158CB" w14:textId="77777777" w:rsidR="00162733" w:rsidRPr="008D5190" w:rsidRDefault="00162733" w:rsidP="00162733">
      <w:pPr>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8D5190">
        <w:rPr>
          <w:rFonts w:ascii="Times New Roman" w:eastAsia="Times New Roman" w:hAnsi="Times New Roman" w:cs="Times New Roman"/>
          <w:b/>
          <w:bCs/>
          <w:kern w:val="0"/>
          <w:sz w:val="18"/>
          <w:szCs w:val="18"/>
          <w:lang w:val="en-GB" w:eastAsia="de-DE"/>
        </w:rPr>
        <w:t>Figure S7: Two-week mean ΔO</w:t>
      </w:r>
      <w:r w:rsidRPr="008D5190">
        <w:rPr>
          <w:rFonts w:ascii="Times New Roman" w:eastAsia="Times New Roman" w:hAnsi="Times New Roman" w:cs="Times New Roman"/>
          <w:b/>
          <w:bCs/>
          <w:kern w:val="0"/>
          <w:sz w:val="18"/>
          <w:szCs w:val="18"/>
          <w:vertAlign w:val="subscript"/>
          <w:lang w:val="en-GB" w:eastAsia="de-DE"/>
        </w:rPr>
        <w:t>3</w:t>
      </w:r>
      <w:r w:rsidRPr="008D5190">
        <w:rPr>
          <w:rFonts w:ascii="Times New Roman" w:eastAsia="Times New Roman" w:hAnsi="Times New Roman" w:cs="Times New Roman"/>
          <w:b/>
          <w:bCs/>
          <w:kern w:val="0"/>
          <w:sz w:val="18"/>
          <w:szCs w:val="18"/>
          <w:lang w:val="en-GB" w:eastAsia="de-DE"/>
        </w:rPr>
        <w:t xml:space="preserve"> response (ppb) to anthropogenic VOC (AVOC, orange) and biogenic VOC (BVOC, green) emissions, by local hour, for 1–14 May 2022. For each local hour, responses are summed over all grids classified in each regime at that hour; regimes are diagnosed with the HCHO-to-NO</w:t>
      </w:r>
      <w:r w:rsidRPr="008D5190">
        <w:rPr>
          <w:rFonts w:ascii="Times New Roman" w:eastAsia="Times New Roman" w:hAnsi="Times New Roman" w:cs="Times New Roman"/>
          <w:b/>
          <w:bCs/>
          <w:kern w:val="0"/>
          <w:sz w:val="18"/>
          <w:szCs w:val="18"/>
          <w:vertAlign w:val="subscript"/>
          <w:lang w:val="en-GB" w:eastAsia="de-DE"/>
        </w:rPr>
        <w:t>2</w:t>
      </w:r>
      <w:r w:rsidRPr="008D5190">
        <w:rPr>
          <w:rFonts w:ascii="Times New Roman" w:eastAsia="Times New Roman" w:hAnsi="Times New Roman" w:cs="Times New Roman"/>
          <w:b/>
          <w:bCs/>
          <w:kern w:val="0"/>
          <w:sz w:val="18"/>
          <w:szCs w:val="18"/>
          <w:lang w:val="en-GB" w:eastAsia="de-DE"/>
        </w:rPr>
        <w:t xml:space="preserve"> ratios from the </w:t>
      </w:r>
      <w:proofErr w:type="spellStart"/>
      <w:r w:rsidRPr="008D5190">
        <w:rPr>
          <w:rFonts w:ascii="Times New Roman" w:eastAsia="Times New Roman" w:hAnsi="Times New Roman" w:cs="Times New Roman"/>
          <w:b/>
          <w:bCs/>
          <w:kern w:val="0"/>
          <w:sz w:val="18"/>
          <w:szCs w:val="18"/>
          <w:lang w:val="en-GB" w:eastAsia="de-DE"/>
        </w:rPr>
        <w:t>Hybrid_NOx+VOC</w:t>
      </w:r>
      <w:proofErr w:type="spellEnd"/>
      <w:r w:rsidRPr="008D5190">
        <w:rPr>
          <w:rFonts w:ascii="Times New Roman" w:eastAsia="Times New Roman" w:hAnsi="Times New Roman" w:cs="Times New Roman"/>
          <w:b/>
          <w:bCs/>
          <w:kern w:val="0"/>
          <w:sz w:val="18"/>
          <w:szCs w:val="18"/>
          <w:lang w:val="en-GB" w:eastAsia="de-DE"/>
        </w:rPr>
        <w:t xml:space="preserve"> experiment. Panels (a) and (b) show, for VOC-sensitive and NO</w:t>
      </w:r>
      <w:r w:rsidRPr="008D5190">
        <w:rPr>
          <w:rFonts w:ascii="Times New Roman" w:eastAsia="Times New Roman" w:hAnsi="Times New Roman" w:cs="Times New Roman"/>
          <w:b/>
          <w:bCs/>
          <w:kern w:val="0"/>
          <w:sz w:val="18"/>
          <w:szCs w:val="18"/>
          <w:vertAlign w:val="subscript"/>
          <w:lang w:val="en-GB" w:eastAsia="de-DE"/>
        </w:rPr>
        <w:t>x</w:t>
      </w:r>
      <w:r w:rsidRPr="008D5190">
        <w:rPr>
          <w:rFonts w:ascii="Times New Roman" w:eastAsia="Times New Roman" w:hAnsi="Times New Roman" w:cs="Times New Roman"/>
          <w:b/>
          <w:bCs/>
          <w:kern w:val="0"/>
          <w:sz w:val="18"/>
          <w:szCs w:val="18"/>
          <w:lang w:val="en-GB" w:eastAsia="de-DE"/>
        </w:rPr>
        <w:t>-sensitive regimes respectively, the ΔO</w:t>
      </w:r>
      <w:r w:rsidRPr="008D5190">
        <w:rPr>
          <w:rFonts w:ascii="Times New Roman" w:eastAsia="Times New Roman" w:hAnsi="Times New Roman" w:cs="Times New Roman"/>
          <w:b/>
          <w:bCs/>
          <w:kern w:val="0"/>
          <w:sz w:val="18"/>
          <w:szCs w:val="18"/>
          <w:vertAlign w:val="subscript"/>
          <w:lang w:val="en-GB" w:eastAsia="de-DE"/>
        </w:rPr>
        <w:t>3</w:t>
      </w:r>
      <w:r w:rsidRPr="008D5190">
        <w:rPr>
          <w:rFonts w:ascii="Times New Roman" w:eastAsia="Times New Roman" w:hAnsi="Times New Roman" w:cs="Times New Roman"/>
          <w:b/>
          <w:bCs/>
          <w:kern w:val="0"/>
          <w:sz w:val="18"/>
          <w:szCs w:val="18"/>
          <w:lang w:val="en-GB" w:eastAsia="de-DE"/>
        </w:rPr>
        <w:t xml:space="preserve"> response at each local hour to emissions released over all hours (i.e., emission-time–integrated response).</w:t>
      </w:r>
    </w:p>
    <w:p w14:paraId="5AF4D8A2" w14:textId="75FA8D33" w:rsidR="009F2463" w:rsidRPr="00162733" w:rsidRDefault="009F2463" w:rsidP="009F2463">
      <w:pPr>
        <w:widowControl/>
        <w:wordWrap/>
        <w:autoSpaceDE/>
        <w:autoSpaceDN/>
        <w:spacing w:line="276" w:lineRule="auto"/>
        <w:rPr>
          <w:rFonts w:ascii="Palatino Linotype" w:hAnsi="Palatino Linotype" w:cs="Times New Roman"/>
          <w:b/>
          <w:bCs/>
          <w:sz w:val="24"/>
          <w:szCs w:val="28"/>
          <w:shd w:val="clear" w:color="auto" w:fill="FFFFFF"/>
          <w:lang w:val="en-GB"/>
        </w:rPr>
      </w:pPr>
    </w:p>
    <w:p w14:paraId="5DB518FE" w14:textId="3DF9AD3E" w:rsidR="008F54A7" w:rsidRDefault="008F54A7" w:rsidP="009B572B">
      <w:pPr>
        <w:widowControl/>
        <w:wordWrap/>
        <w:autoSpaceDE/>
        <w:autoSpaceDN/>
        <w:spacing w:line="276" w:lineRule="auto"/>
        <w:rPr>
          <w:rFonts w:ascii="Palatino Linotype" w:hAnsi="Palatino Linotype" w:cs="Times New Roman"/>
          <w:b/>
          <w:bCs/>
          <w:sz w:val="24"/>
          <w:szCs w:val="28"/>
          <w:shd w:val="clear" w:color="auto" w:fill="FFFFFF"/>
        </w:rPr>
      </w:pPr>
      <w:r w:rsidRPr="008F54A7">
        <w:rPr>
          <w:rFonts w:ascii="Palatino Linotype" w:hAnsi="Palatino Linotype" w:cs="Times New Roman"/>
          <w:b/>
          <w:bCs/>
          <w:sz w:val="24"/>
          <w:szCs w:val="28"/>
          <w:shd w:val="clear" w:color="auto" w:fill="FFFFFF"/>
        </w:rPr>
        <w:t>(</w:t>
      </w:r>
      <w:r>
        <w:rPr>
          <w:rFonts w:ascii="Palatino Linotype" w:hAnsi="Palatino Linotype" w:cs="Times New Roman"/>
          <w:b/>
          <w:bCs/>
          <w:sz w:val="24"/>
          <w:szCs w:val="28"/>
          <w:shd w:val="clear" w:color="auto" w:fill="FFFFFF"/>
        </w:rPr>
        <w:t>2</w:t>
      </w:r>
      <w:r w:rsidRPr="008F54A7">
        <w:rPr>
          <w:rFonts w:ascii="Palatino Linotype" w:hAnsi="Palatino Linotype" w:cs="Times New Roman"/>
          <w:b/>
          <w:bCs/>
          <w:sz w:val="24"/>
          <w:szCs w:val="28"/>
          <w:shd w:val="clear" w:color="auto" w:fill="FFFFFF"/>
        </w:rPr>
        <w:t>) Policy implications of regime- and time-dependent precursor controls</w:t>
      </w:r>
    </w:p>
    <w:p w14:paraId="27353E3E" w14:textId="094CADD2" w:rsidR="009E63CF" w:rsidRDefault="00707317" w:rsidP="009B572B">
      <w:pPr>
        <w:widowControl/>
        <w:wordWrap/>
        <w:autoSpaceDE/>
        <w:autoSpaceDN/>
        <w:spacing w:line="276" w:lineRule="auto"/>
      </w:pPr>
      <w:r w:rsidRPr="00707317">
        <w:rPr>
          <w:rFonts w:ascii="Palatino Linotype" w:hAnsi="Palatino Linotype" w:cs="Times New Roman"/>
          <w:b/>
          <w:bCs/>
          <w:sz w:val="24"/>
          <w:szCs w:val="28"/>
          <w:shd w:val="clear" w:color="auto" w:fill="FFFFFF"/>
        </w:rPr>
        <w:lastRenderedPageBreak/>
        <w:t>Figure 10 suggests that effective emission control strategies should consider both the chemical sensitivity regime and the timing of precursor emissions. In VOC-sensitive regions, the NO</w:t>
      </w:r>
      <w:r w:rsidRPr="009E51C7">
        <w:rPr>
          <w:rFonts w:ascii="Palatino Linotype" w:hAnsi="Palatino Linotype" w:cs="Times New Roman"/>
          <w:b/>
          <w:bCs/>
          <w:sz w:val="24"/>
          <w:szCs w:val="28"/>
          <w:shd w:val="clear" w:color="auto" w:fill="FFFFFF"/>
          <w:vertAlign w:val="subscript"/>
        </w:rPr>
        <w:t>x</w:t>
      </w:r>
      <w:r w:rsidRPr="00707317">
        <w:rPr>
          <w:rFonts w:ascii="Palatino Linotype" w:hAnsi="Palatino Linotype" w:cs="Times New Roman"/>
          <w:b/>
          <w:bCs/>
          <w:sz w:val="24"/>
          <w:szCs w:val="28"/>
          <w:shd w:val="clear" w:color="auto" w:fill="FFFFFF"/>
        </w:rPr>
        <w:t xml:space="preserve"> response is negative throughout the day, with particularly strong negative responses during nighttime. This indicates that nighttime NO</w:t>
      </w:r>
      <w:r w:rsidRPr="009E51C7">
        <w:rPr>
          <w:rFonts w:ascii="Palatino Linotype" w:hAnsi="Palatino Linotype" w:cs="Times New Roman"/>
          <w:b/>
          <w:bCs/>
          <w:sz w:val="24"/>
          <w:szCs w:val="28"/>
          <w:shd w:val="clear" w:color="auto" w:fill="FFFFFF"/>
          <w:vertAlign w:val="subscript"/>
        </w:rPr>
        <w:t>x</w:t>
      </w:r>
      <w:r w:rsidRPr="00707317">
        <w:rPr>
          <w:rFonts w:ascii="Palatino Linotype" w:hAnsi="Palatino Linotype" w:cs="Times New Roman"/>
          <w:b/>
          <w:bCs/>
          <w:sz w:val="24"/>
          <w:szCs w:val="28"/>
          <w:shd w:val="clear" w:color="auto" w:fill="FFFFFF"/>
        </w:rPr>
        <w:t xml:space="preserve"> emissions reduce O</w:t>
      </w:r>
      <w:r w:rsidRPr="009E51C7">
        <w:rPr>
          <w:rFonts w:ascii="Palatino Linotype" w:hAnsi="Palatino Linotype" w:cs="Times New Roman"/>
          <w:b/>
          <w:bCs/>
          <w:sz w:val="24"/>
          <w:szCs w:val="28"/>
          <w:shd w:val="clear" w:color="auto" w:fill="FFFFFF"/>
          <w:vertAlign w:val="subscript"/>
        </w:rPr>
        <w:t>3</w:t>
      </w:r>
      <w:r w:rsidRPr="00707317">
        <w:rPr>
          <w:rFonts w:ascii="Palatino Linotype" w:hAnsi="Palatino Linotype" w:cs="Times New Roman"/>
          <w:b/>
          <w:bCs/>
          <w:sz w:val="24"/>
          <w:szCs w:val="28"/>
          <w:shd w:val="clear" w:color="auto" w:fill="FFFFFF"/>
        </w:rPr>
        <w:t xml:space="preserve"> mainly through NO titration. Therefore, stricter nighttime NO</w:t>
      </w:r>
      <w:r w:rsidRPr="009E51C7">
        <w:rPr>
          <w:rFonts w:ascii="Palatino Linotype" w:hAnsi="Palatino Linotype" w:cs="Times New Roman"/>
          <w:b/>
          <w:bCs/>
          <w:sz w:val="24"/>
          <w:szCs w:val="28"/>
          <w:shd w:val="clear" w:color="auto" w:fill="FFFFFF"/>
          <w:vertAlign w:val="subscript"/>
        </w:rPr>
        <w:t>x</w:t>
      </w:r>
      <w:r w:rsidRPr="00707317">
        <w:rPr>
          <w:rFonts w:ascii="Palatino Linotype" w:hAnsi="Palatino Linotype" w:cs="Times New Roman"/>
          <w:b/>
          <w:bCs/>
          <w:sz w:val="24"/>
          <w:szCs w:val="28"/>
          <w:shd w:val="clear" w:color="auto" w:fill="FFFFFF"/>
        </w:rPr>
        <w:t xml:space="preserve"> controls in VOC-sensitive urban areas would not necessarily lead to immediate O</w:t>
      </w:r>
      <w:r w:rsidRPr="009E51C7">
        <w:rPr>
          <w:rFonts w:ascii="Palatino Linotype" w:hAnsi="Palatino Linotype" w:cs="Times New Roman"/>
          <w:b/>
          <w:bCs/>
          <w:sz w:val="24"/>
          <w:szCs w:val="28"/>
          <w:shd w:val="clear" w:color="auto" w:fill="FFFFFF"/>
          <w:vertAlign w:val="subscript"/>
        </w:rPr>
        <w:t>3</w:t>
      </w:r>
      <w:r w:rsidRPr="00707317">
        <w:rPr>
          <w:rFonts w:ascii="Palatino Linotype" w:hAnsi="Palatino Linotype" w:cs="Times New Roman"/>
          <w:b/>
          <w:bCs/>
          <w:sz w:val="24"/>
          <w:szCs w:val="28"/>
          <w:shd w:val="clear" w:color="auto" w:fill="FFFFFF"/>
        </w:rPr>
        <w:t xml:space="preserve"> reductions; instead, they could weaken NO titration and increase nighttime O</w:t>
      </w:r>
      <w:r w:rsidRPr="009E51C7">
        <w:rPr>
          <w:rFonts w:ascii="Palatino Linotype" w:hAnsi="Palatino Linotype" w:cs="Times New Roman"/>
          <w:b/>
          <w:bCs/>
          <w:sz w:val="24"/>
          <w:szCs w:val="28"/>
          <w:shd w:val="clear" w:color="auto" w:fill="FFFFFF"/>
          <w:vertAlign w:val="subscript"/>
        </w:rPr>
        <w:t>3</w:t>
      </w:r>
      <w:r w:rsidRPr="00707317">
        <w:rPr>
          <w:rFonts w:ascii="Palatino Linotype" w:hAnsi="Palatino Linotype" w:cs="Times New Roman"/>
          <w:b/>
          <w:bCs/>
          <w:sz w:val="24"/>
          <w:szCs w:val="28"/>
          <w:shd w:val="clear" w:color="auto" w:fill="FFFFFF"/>
        </w:rPr>
        <w:t>. In these regions, VOC reductions are expected to be more effective for reducing daytime O</w:t>
      </w:r>
      <w:r w:rsidRPr="009E51C7">
        <w:rPr>
          <w:rFonts w:ascii="Palatino Linotype" w:hAnsi="Palatino Linotype" w:cs="Times New Roman"/>
          <w:b/>
          <w:bCs/>
          <w:sz w:val="24"/>
          <w:szCs w:val="28"/>
          <w:shd w:val="clear" w:color="auto" w:fill="FFFFFF"/>
          <w:vertAlign w:val="subscript"/>
        </w:rPr>
        <w:t>3</w:t>
      </w:r>
      <w:r w:rsidRPr="00707317">
        <w:rPr>
          <w:rFonts w:ascii="Palatino Linotype" w:hAnsi="Palatino Linotype" w:cs="Times New Roman"/>
          <w:b/>
          <w:bCs/>
          <w:sz w:val="24"/>
          <w:szCs w:val="28"/>
          <w:shd w:val="clear" w:color="auto" w:fill="FFFFFF"/>
        </w:rPr>
        <w:t xml:space="preserve"> formation, as indicated by the positive daytime VOC response in Fig. 10a and the strong contribution of VOC emissions released before the afternoon O</w:t>
      </w:r>
      <w:r w:rsidRPr="009E51C7">
        <w:rPr>
          <w:rFonts w:ascii="Palatino Linotype" w:hAnsi="Palatino Linotype" w:cs="Times New Roman"/>
          <w:b/>
          <w:bCs/>
          <w:sz w:val="24"/>
          <w:szCs w:val="28"/>
          <w:shd w:val="clear" w:color="auto" w:fill="FFFFFF"/>
          <w:vertAlign w:val="subscript"/>
        </w:rPr>
        <w:t>3</w:t>
      </w:r>
      <w:r w:rsidRPr="00707317">
        <w:rPr>
          <w:rFonts w:ascii="Palatino Linotype" w:hAnsi="Palatino Linotype" w:cs="Times New Roman"/>
          <w:b/>
          <w:bCs/>
          <w:sz w:val="24"/>
          <w:szCs w:val="28"/>
          <w:shd w:val="clear" w:color="auto" w:fill="FFFFFF"/>
        </w:rPr>
        <w:t xml:space="preserve"> peak in Fig. 10b.</w:t>
      </w:r>
      <w:r w:rsidR="009E63CF" w:rsidRPr="009E63CF">
        <w:t xml:space="preserve"> </w:t>
      </w:r>
    </w:p>
    <w:p w14:paraId="4366B8C8" w14:textId="429BC6E1" w:rsidR="006C0B33" w:rsidRDefault="009E63CF" w:rsidP="009B572B">
      <w:pPr>
        <w:widowControl/>
        <w:wordWrap/>
        <w:autoSpaceDE/>
        <w:autoSpaceDN/>
        <w:spacing w:line="276" w:lineRule="auto"/>
        <w:rPr>
          <w:rFonts w:ascii="Palatino Linotype" w:hAnsi="Palatino Linotype" w:cs="Times New Roman"/>
          <w:b/>
          <w:bCs/>
          <w:sz w:val="24"/>
          <w:szCs w:val="28"/>
          <w:shd w:val="clear" w:color="auto" w:fill="FFFFFF"/>
        </w:rPr>
      </w:pPr>
      <w:r w:rsidRPr="009E63CF">
        <w:rPr>
          <w:rFonts w:ascii="Palatino Linotype" w:hAnsi="Palatino Linotype" w:cs="Times New Roman"/>
          <w:b/>
          <w:bCs/>
          <w:sz w:val="24"/>
          <w:szCs w:val="28"/>
          <w:shd w:val="clear" w:color="auto" w:fill="FFFFFF"/>
        </w:rPr>
        <w:t>In contrast, under NO</w:t>
      </w:r>
      <w:r w:rsidRPr="00A93482">
        <w:rPr>
          <w:rFonts w:ascii="Palatino Linotype" w:hAnsi="Palatino Linotype" w:cs="Times New Roman"/>
          <w:b/>
          <w:bCs/>
          <w:sz w:val="24"/>
          <w:szCs w:val="28"/>
          <w:shd w:val="clear" w:color="auto" w:fill="FFFFFF"/>
          <w:vertAlign w:val="subscript"/>
        </w:rPr>
        <w:t>x</w:t>
      </w:r>
      <w:r w:rsidRPr="009E63CF">
        <w:rPr>
          <w:rFonts w:ascii="Palatino Linotype" w:hAnsi="Palatino Linotype" w:cs="Times New Roman"/>
          <w:b/>
          <w:bCs/>
          <w:sz w:val="24"/>
          <w:szCs w:val="28"/>
          <w:shd w:val="clear" w:color="auto" w:fill="FFFFFF"/>
        </w:rPr>
        <w:t>-sensitive conditions, NO</w:t>
      </w:r>
      <w:r w:rsidRPr="00A93482">
        <w:rPr>
          <w:rFonts w:ascii="Palatino Linotype" w:hAnsi="Palatino Linotype" w:cs="Times New Roman"/>
          <w:b/>
          <w:bCs/>
          <w:sz w:val="24"/>
          <w:szCs w:val="28"/>
          <w:shd w:val="clear" w:color="auto" w:fill="FFFFFF"/>
          <w:vertAlign w:val="subscript"/>
        </w:rPr>
        <w:t>x</w:t>
      </w:r>
      <w:r w:rsidRPr="009E63CF">
        <w:rPr>
          <w:rFonts w:ascii="Palatino Linotype" w:hAnsi="Palatino Linotype" w:cs="Times New Roman"/>
          <w:b/>
          <w:bCs/>
          <w:sz w:val="24"/>
          <w:szCs w:val="28"/>
          <w:shd w:val="clear" w:color="auto" w:fill="FFFFFF"/>
        </w:rPr>
        <w:t xml:space="preserve"> emissions generally promote daytime O</w:t>
      </w:r>
      <w:r w:rsidRPr="009E51C7">
        <w:rPr>
          <w:rFonts w:ascii="Palatino Linotype" w:hAnsi="Palatino Linotype" w:cs="Times New Roman"/>
          <w:b/>
          <w:bCs/>
          <w:sz w:val="24"/>
          <w:szCs w:val="28"/>
          <w:shd w:val="clear" w:color="auto" w:fill="FFFFFF"/>
          <w:vertAlign w:val="subscript"/>
        </w:rPr>
        <w:t>3</w:t>
      </w:r>
      <w:r w:rsidRPr="009E63CF">
        <w:rPr>
          <w:rFonts w:ascii="Palatino Linotype" w:hAnsi="Palatino Linotype" w:cs="Times New Roman"/>
          <w:b/>
          <w:bCs/>
          <w:sz w:val="24"/>
          <w:szCs w:val="28"/>
          <w:shd w:val="clear" w:color="auto" w:fill="FFFFFF"/>
        </w:rPr>
        <w:t xml:space="preserve"> formation, particularly from late morning to afternoon, while nighttime NO</w:t>
      </w:r>
      <w:r w:rsidRPr="009E51C7">
        <w:rPr>
          <w:rFonts w:ascii="Palatino Linotype" w:hAnsi="Palatino Linotype" w:cs="Times New Roman"/>
          <w:b/>
          <w:bCs/>
          <w:sz w:val="24"/>
          <w:szCs w:val="28"/>
          <w:shd w:val="clear" w:color="auto" w:fill="FFFFFF"/>
          <w:vertAlign w:val="subscript"/>
        </w:rPr>
        <w:t>x</w:t>
      </w:r>
      <w:r w:rsidRPr="009E63CF">
        <w:rPr>
          <w:rFonts w:ascii="Palatino Linotype" w:hAnsi="Palatino Linotype" w:cs="Times New Roman"/>
          <w:b/>
          <w:bCs/>
          <w:sz w:val="24"/>
          <w:szCs w:val="28"/>
          <w:shd w:val="clear" w:color="auto" w:fill="FFFFFF"/>
        </w:rPr>
        <w:t xml:space="preserve"> still contributes to O</w:t>
      </w:r>
      <w:r w:rsidRPr="00A93482">
        <w:rPr>
          <w:rFonts w:ascii="Palatino Linotype" w:hAnsi="Palatino Linotype" w:cs="Times New Roman"/>
          <w:b/>
          <w:bCs/>
          <w:sz w:val="24"/>
          <w:szCs w:val="28"/>
          <w:shd w:val="clear" w:color="auto" w:fill="FFFFFF"/>
          <w:vertAlign w:val="subscript"/>
        </w:rPr>
        <w:t>3</w:t>
      </w:r>
      <w:r w:rsidRPr="009E63CF">
        <w:rPr>
          <w:rFonts w:ascii="Palatino Linotype" w:hAnsi="Palatino Linotype" w:cs="Times New Roman"/>
          <w:b/>
          <w:bCs/>
          <w:sz w:val="24"/>
          <w:szCs w:val="28"/>
          <w:shd w:val="clear" w:color="auto" w:fill="FFFFFF"/>
        </w:rPr>
        <w:t xml:space="preserve"> loss through titration. Therefore, NOx controls are likely to be more effective for reducing daytime O</w:t>
      </w:r>
      <w:r w:rsidRPr="00A93482">
        <w:rPr>
          <w:rFonts w:ascii="Palatino Linotype" w:hAnsi="Palatino Linotype" w:cs="Times New Roman"/>
          <w:b/>
          <w:bCs/>
          <w:sz w:val="24"/>
          <w:szCs w:val="28"/>
          <w:shd w:val="clear" w:color="auto" w:fill="FFFFFF"/>
          <w:vertAlign w:val="subscript"/>
        </w:rPr>
        <w:t>3</w:t>
      </w:r>
      <w:r w:rsidRPr="009E63CF">
        <w:rPr>
          <w:rFonts w:ascii="Palatino Linotype" w:hAnsi="Palatino Linotype" w:cs="Times New Roman"/>
          <w:b/>
          <w:bCs/>
          <w:sz w:val="24"/>
          <w:szCs w:val="28"/>
          <w:shd w:val="clear" w:color="auto" w:fill="FFFFFF"/>
        </w:rPr>
        <w:t xml:space="preserve"> in NOx-sensitive regions, but their timing should be carefully considered to avoid unintended nighttime O</w:t>
      </w:r>
      <w:r w:rsidRPr="009E51C7">
        <w:rPr>
          <w:rFonts w:ascii="Palatino Linotype" w:hAnsi="Palatino Linotype" w:cs="Times New Roman"/>
          <w:b/>
          <w:bCs/>
          <w:sz w:val="24"/>
          <w:szCs w:val="28"/>
          <w:shd w:val="clear" w:color="auto" w:fill="FFFFFF"/>
          <w:vertAlign w:val="subscript"/>
        </w:rPr>
        <w:t>3</w:t>
      </w:r>
      <w:r w:rsidRPr="009E63CF">
        <w:rPr>
          <w:rFonts w:ascii="Palatino Linotype" w:hAnsi="Palatino Linotype" w:cs="Times New Roman"/>
          <w:b/>
          <w:bCs/>
          <w:sz w:val="24"/>
          <w:szCs w:val="28"/>
          <w:shd w:val="clear" w:color="auto" w:fill="FFFFFF"/>
        </w:rPr>
        <w:t xml:space="preserve"> increases. These results indicate that O</w:t>
      </w:r>
      <w:r w:rsidRPr="009E51C7">
        <w:rPr>
          <w:rFonts w:ascii="Palatino Linotype" w:hAnsi="Palatino Linotype" w:cs="Times New Roman"/>
          <w:b/>
          <w:bCs/>
          <w:sz w:val="24"/>
          <w:szCs w:val="28"/>
          <w:shd w:val="clear" w:color="auto" w:fill="FFFFFF"/>
          <w:vertAlign w:val="subscript"/>
        </w:rPr>
        <w:t>3</w:t>
      </w:r>
      <w:r w:rsidRPr="009E63CF">
        <w:rPr>
          <w:rFonts w:ascii="Palatino Linotype" w:hAnsi="Palatino Linotype" w:cs="Times New Roman"/>
          <w:b/>
          <w:bCs/>
          <w:sz w:val="24"/>
          <w:szCs w:val="28"/>
          <w:shd w:val="clear" w:color="auto" w:fill="FFFFFF"/>
        </w:rPr>
        <w:t xml:space="preserve"> mitigation policies should be regime-specific and time-dependent, rather than relying on uniform daily reductions of NO</w:t>
      </w:r>
      <w:r w:rsidRPr="009E51C7">
        <w:rPr>
          <w:rFonts w:ascii="Palatino Linotype" w:hAnsi="Palatino Linotype" w:cs="Times New Roman"/>
          <w:b/>
          <w:bCs/>
          <w:sz w:val="24"/>
          <w:szCs w:val="28"/>
          <w:shd w:val="clear" w:color="auto" w:fill="FFFFFF"/>
          <w:vertAlign w:val="subscript"/>
        </w:rPr>
        <w:t>x</w:t>
      </w:r>
      <w:r w:rsidRPr="009E63CF">
        <w:rPr>
          <w:rFonts w:ascii="Palatino Linotype" w:hAnsi="Palatino Linotype" w:cs="Times New Roman"/>
          <w:b/>
          <w:bCs/>
          <w:sz w:val="24"/>
          <w:szCs w:val="28"/>
          <w:shd w:val="clear" w:color="auto" w:fill="FFFFFF"/>
        </w:rPr>
        <w:t xml:space="preserve"> or VOC emissions.</w:t>
      </w:r>
    </w:p>
    <w:p w14:paraId="6E3C331C" w14:textId="77777777" w:rsidR="00162733" w:rsidRPr="006C0B33" w:rsidRDefault="00162733" w:rsidP="009B572B">
      <w:pPr>
        <w:widowControl/>
        <w:wordWrap/>
        <w:autoSpaceDE/>
        <w:autoSpaceDN/>
        <w:spacing w:line="276" w:lineRule="auto"/>
        <w:rPr>
          <w:rFonts w:ascii="Palatino Linotype" w:hAnsi="Palatino Linotype" w:cs="Times New Roman"/>
          <w:b/>
          <w:bCs/>
          <w:sz w:val="24"/>
          <w:szCs w:val="28"/>
          <w:shd w:val="clear" w:color="auto" w:fill="FFFFFF"/>
        </w:rPr>
      </w:pPr>
    </w:p>
    <w:p w14:paraId="6F1A8160" w14:textId="078408E5" w:rsidR="00341724" w:rsidRPr="00341724" w:rsidRDefault="00341724" w:rsidP="00341724">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4</w:t>
      </w:r>
      <w:r w:rsidRPr="00964E09">
        <w:rPr>
          <w:rFonts w:ascii="Palatino Linotype" w:hAnsi="Palatino Linotype" w:cs="Times New Roman"/>
          <w:i/>
          <w:color w:val="0A0A0A"/>
          <w:sz w:val="24"/>
          <w:szCs w:val="24"/>
          <w:shd w:val="clear" w:color="auto" w:fill="FEFEFE"/>
        </w:rPr>
        <w:t xml:space="preserve"> in the revised manuscript&gt;</w:t>
      </w:r>
    </w:p>
    <w:p w14:paraId="5F9FE0E0" w14:textId="431DF3B0" w:rsidR="00341724" w:rsidRPr="00341724" w:rsidRDefault="00341724" w:rsidP="00341724">
      <w:pPr>
        <w:widowControl/>
        <w:wordWrap/>
        <w:autoSpaceDE/>
        <w:autoSpaceDN/>
        <w:rPr>
          <w:rFonts w:ascii="Palatino Linotype" w:hAnsi="Palatino Linotype"/>
          <w:i/>
          <w:iCs/>
          <w:sz w:val="24"/>
          <w:szCs w:val="28"/>
        </w:rPr>
      </w:pPr>
      <w:r w:rsidRPr="00341724">
        <w:rPr>
          <w:rFonts w:ascii="Palatino Linotype" w:eastAsia="Times New Roman" w:hAnsi="Palatino Linotype" w:cs="Times New Roman"/>
          <w:i/>
          <w:iCs/>
          <w:kern w:val="0"/>
          <w:sz w:val="24"/>
          <w:szCs w:val="32"/>
          <w:lang w:val="en-GB" w:eastAsia="de-DE"/>
        </w:rPr>
        <w:t xml:space="preserve">These results also indicate that emission control strategies should not be based solely on daily mean precursor responses. In VOC-sensitive regions, </w:t>
      </w:r>
      <w:proofErr w:type="spellStart"/>
      <w:r w:rsidRPr="00341724">
        <w:rPr>
          <w:rFonts w:ascii="Palatino Linotype" w:eastAsia="Times New Roman" w:hAnsi="Palatino Linotype" w:cs="Times New Roman"/>
          <w:i/>
          <w:iCs/>
          <w:kern w:val="0"/>
          <w:sz w:val="24"/>
          <w:szCs w:val="32"/>
          <w:lang w:val="en-GB" w:eastAsia="de-DE"/>
        </w:rPr>
        <w:t>nighttime</w:t>
      </w:r>
      <w:proofErr w:type="spellEnd"/>
      <w:r w:rsidRPr="00341724">
        <w:rPr>
          <w:rFonts w:ascii="Palatino Linotype" w:eastAsia="Times New Roman" w:hAnsi="Palatino Linotype" w:cs="Times New Roman"/>
          <w:i/>
          <w:iCs/>
          <w:kern w:val="0"/>
          <w:sz w:val="24"/>
          <w:szCs w:val="32"/>
          <w:lang w:val="en-GB" w:eastAsia="de-DE"/>
        </w:rPr>
        <w:t xml:space="preserve"> NO</w:t>
      </w:r>
      <w:r w:rsidRPr="00341724">
        <w:rPr>
          <w:rFonts w:ascii="Palatino Linotype" w:eastAsia="Times New Roman" w:hAnsi="Palatino Linotype" w:cs="Times New Roman"/>
          <w:i/>
          <w:iCs/>
          <w:kern w:val="0"/>
          <w:sz w:val="24"/>
          <w:szCs w:val="32"/>
          <w:vertAlign w:val="subscript"/>
          <w:lang w:val="en-GB" w:eastAsia="de-DE"/>
        </w:rPr>
        <w:t>x</w:t>
      </w:r>
      <w:r w:rsidRPr="00341724">
        <w:rPr>
          <w:rFonts w:ascii="Palatino Linotype" w:eastAsia="Times New Roman" w:hAnsi="Palatino Linotype" w:cs="Times New Roman"/>
          <w:i/>
          <w:iCs/>
          <w:kern w:val="0"/>
          <w:sz w:val="24"/>
          <w:szCs w:val="32"/>
          <w:lang w:val="en-GB" w:eastAsia="de-DE"/>
        </w:rPr>
        <w:t xml:space="preserve"> emissions decrease O</w:t>
      </w:r>
      <w:r w:rsidRPr="00341724">
        <w:rPr>
          <w:rFonts w:ascii="Palatino Linotype" w:eastAsia="Times New Roman" w:hAnsi="Palatino Linotype" w:cs="Times New Roman"/>
          <w:i/>
          <w:iCs/>
          <w:kern w:val="0"/>
          <w:sz w:val="24"/>
          <w:szCs w:val="32"/>
          <w:vertAlign w:val="subscript"/>
          <w:lang w:val="en-GB" w:eastAsia="de-DE"/>
        </w:rPr>
        <w:t>3</w:t>
      </w:r>
      <w:r w:rsidRPr="00341724">
        <w:rPr>
          <w:rFonts w:ascii="Palatino Linotype" w:eastAsia="Times New Roman" w:hAnsi="Palatino Linotype" w:cs="Times New Roman"/>
          <w:i/>
          <w:iCs/>
          <w:kern w:val="0"/>
          <w:sz w:val="24"/>
          <w:szCs w:val="32"/>
          <w:lang w:val="en-GB" w:eastAsia="de-DE"/>
        </w:rPr>
        <w:t xml:space="preserve"> through NO titration; therefore, stricter </w:t>
      </w:r>
      <w:proofErr w:type="spellStart"/>
      <w:r w:rsidRPr="00341724">
        <w:rPr>
          <w:rFonts w:ascii="Palatino Linotype" w:eastAsia="Times New Roman" w:hAnsi="Palatino Linotype" w:cs="Times New Roman"/>
          <w:i/>
          <w:iCs/>
          <w:kern w:val="0"/>
          <w:sz w:val="24"/>
          <w:szCs w:val="32"/>
          <w:lang w:val="en-GB" w:eastAsia="de-DE"/>
        </w:rPr>
        <w:t>nighttime</w:t>
      </w:r>
      <w:proofErr w:type="spellEnd"/>
      <w:r w:rsidRPr="00341724">
        <w:rPr>
          <w:rFonts w:ascii="Palatino Linotype" w:eastAsia="Times New Roman" w:hAnsi="Palatino Linotype" w:cs="Times New Roman"/>
          <w:i/>
          <w:iCs/>
          <w:kern w:val="0"/>
          <w:sz w:val="24"/>
          <w:szCs w:val="32"/>
          <w:lang w:val="en-GB" w:eastAsia="de-DE"/>
        </w:rPr>
        <w:t xml:space="preserve"> NO</w:t>
      </w:r>
      <w:r w:rsidRPr="00341724">
        <w:rPr>
          <w:rFonts w:ascii="Palatino Linotype" w:eastAsia="Times New Roman" w:hAnsi="Palatino Linotype" w:cs="Times New Roman"/>
          <w:i/>
          <w:iCs/>
          <w:kern w:val="0"/>
          <w:sz w:val="24"/>
          <w:szCs w:val="32"/>
          <w:vertAlign w:val="subscript"/>
          <w:lang w:val="en-GB" w:eastAsia="de-DE"/>
        </w:rPr>
        <w:t>x</w:t>
      </w:r>
      <w:r w:rsidRPr="00341724">
        <w:rPr>
          <w:rFonts w:ascii="Palatino Linotype" w:eastAsia="Times New Roman" w:hAnsi="Palatino Linotype" w:cs="Times New Roman"/>
          <w:i/>
          <w:iCs/>
          <w:kern w:val="0"/>
          <w:sz w:val="24"/>
          <w:szCs w:val="32"/>
          <w:lang w:val="en-GB" w:eastAsia="de-DE"/>
        </w:rPr>
        <w:t xml:space="preserve"> controls may not immediately reduce O</w:t>
      </w:r>
      <w:r w:rsidRPr="00341724">
        <w:rPr>
          <w:rFonts w:ascii="Palatino Linotype" w:eastAsia="Times New Roman" w:hAnsi="Palatino Linotype" w:cs="Times New Roman"/>
          <w:i/>
          <w:iCs/>
          <w:kern w:val="0"/>
          <w:sz w:val="24"/>
          <w:szCs w:val="32"/>
          <w:vertAlign w:val="subscript"/>
          <w:lang w:val="en-GB" w:eastAsia="de-DE"/>
        </w:rPr>
        <w:t>3</w:t>
      </w:r>
      <w:r w:rsidRPr="00341724">
        <w:rPr>
          <w:rFonts w:ascii="Palatino Linotype" w:eastAsia="Times New Roman" w:hAnsi="Palatino Linotype" w:cs="Times New Roman"/>
          <w:i/>
          <w:iCs/>
          <w:kern w:val="0"/>
          <w:sz w:val="24"/>
          <w:szCs w:val="32"/>
          <w:lang w:val="en-GB" w:eastAsia="de-DE"/>
        </w:rPr>
        <w:t xml:space="preserve"> and could increase </w:t>
      </w:r>
      <w:proofErr w:type="spellStart"/>
      <w:r w:rsidRPr="00341724">
        <w:rPr>
          <w:rFonts w:ascii="Palatino Linotype" w:eastAsia="Times New Roman" w:hAnsi="Palatino Linotype" w:cs="Times New Roman"/>
          <w:i/>
          <w:iCs/>
          <w:kern w:val="0"/>
          <w:sz w:val="24"/>
          <w:szCs w:val="32"/>
          <w:lang w:val="en-GB" w:eastAsia="de-DE"/>
        </w:rPr>
        <w:t>nighttime</w:t>
      </w:r>
      <w:proofErr w:type="spellEnd"/>
      <w:r w:rsidRPr="00341724">
        <w:rPr>
          <w:rFonts w:ascii="Palatino Linotype" w:eastAsia="Times New Roman" w:hAnsi="Palatino Linotype" w:cs="Times New Roman"/>
          <w:i/>
          <w:iCs/>
          <w:kern w:val="0"/>
          <w:sz w:val="24"/>
          <w:szCs w:val="32"/>
          <w:lang w:val="en-GB" w:eastAsia="de-DE"/>
        </w:rPr>
        <w:t xml:space="preserve"> O</w:t>
      </w:r>
      <w:r w:rsidRPr="00341724">
        <w:rPr>
          <w:rFonts w:ascii="Palatino Linotype" w:eastAsia="Times New Roman" w:hAnsi="Palatino Linotype" w:cs="Times New Roman"/>
          <w:i/>
          <w:iCs/>
          <w:kern w:val="0"/>
          <w:sz w:val="24"/>
          <w:szCs w:val="32"/>
          <w:vertAlign w:val="subscript"/>
          <w:lang w:val="en-GB" w:eastAsia="de-DE"/>
        </w:rPr>
        <w:t>3</w:t>
      </w:r>
      <w:r w:rsidRPr="00341724">
        <w:rPr>
          <w:rFonts w:ascii="Palatino Linotype" w:eastAsia="Times New Roman" w:hAnsi="Palatino Linotype" w:cs="Times New Roman"/>
          <w:i/>
          <w:iCs/>
          <w:kern w:val="0"/>
          <w:sz w:val="24"/>
          <w:szCs w:val="32"/>
          <w:lang w:val="en-GB" w:eastAsia="de-DE"/>
        </w:rPr>
        <w:t xml:space="preserve"> by weakening titration. In contrast, VOC reductions are more effective for lowering daytime O</w:t>
      </w:r>
      <w:r w:rsidRPr="00341724">
        <w:rPr>
          <w:rFonts w:ascii="Palatino Linotype" w:eastAsia="Times New Roman" w:hAnsi="Palatino Linotype" w:cs="Times New Roman"/>
          <w:i/>
          <w:iCs/>
          <w:kern w:val="0"/>
          <w:sz w:val="24"/>
          <w:szCs w:val="32"/>
          <w:vertAlign w:val="subscript"/>
          <w:lang w:val="en-GB" w:eastAsia="de-DE"/>
        </w:rPr>
        <w:t>3</w:t>
      </w:r>
      <w:r w:rsidRPr="00341724">
        <w:rPr>
          <w:rFonts w:ascii="Palatino Linotype" w:eastAsia="Times New Roman" w:hAnsi="Palatino Linotype" w:cs="Times New Roman"/>
          <w:i/>
          <w:iCs/>
          <w:kern w:val="0"/>
          <w:sz w:val="24"/>
          <w:szCs w:val="32"/>
          <w:lang w:val="en-GB" w:eastAsia="de-DE"/>
        </w:rPr>
        <w:t xml:space="preserve"> under VOC-sensitive conditions, whereas NO</w:t>
      </w:r>
      <w:r w:rsidRPr="00341724">
        <w:rPr>
          <w:rFonts w:ascii="Palatino Linotype" w:eastAsia="Times New Roman" w:hAnsi="Palatino Linotype" w:cs="Times New Roman"/>
          <w:i/>
          <w:iCs/>
          <w:kern w:val="0"/>
          <w:sz w:val="24"/>
          <w:szCs w:val="32"/>
          <w:vertAlign w:val="subscript"/>
          <w:lang w:val="en-GB" w:eastAsia="de-DE"/>
        </w:rPr>
        <w:t>x</w:t>
      </w:r>
      <w:r w:rsidRPr="00341724">
        <w:rPr>
          <w:rFonts w:ascii="Palatino Linotype" w:eastAsia="Times New Roman" w:hAnsi="Palatino Linotype" w:cs="Times New Roman"/>
          <w:i/>
          <w:iCs/>
          <w:kern w:val="0"/>
          <w:sz w:val="24"/>
          <w:szCs w:val="32"/>
          <w:lang w:val="en-GB" w:eastAsia="de-DE"/>
        </w:rPr>
        <w:t xml:space="preserve"> reductions provide a more direct pathway for reducing daytime O</w:t>
      </w:r>
      <w:r w:rsidRPr="00341724">
        <w:rPr>
          <w:rFonts w:ascii="Palatino Linotype" w:eastAsia="Times New Roman" w:hAnsi="Palatino Linotype" w:cs="Times New Roman"/>
          <w:i/>
          <w:iCs/>
          <w:kern w:val="0"/>
          <w:sz w:val="24"/>
          <w:szCs w:val="32"/>
          <w:vertAlign w:val="subscript"/>
          <w:lang w:val="en-GB" w:eastAsia="de-DE"/>
        </w:rPr>
        <w:t>3</w:t>
      </w:r>
      <w:r w:rsidRPr="00341724">
        <w:rPr>
          <w:rFonts w:ascii="Palatino Linotype" w:eastAsia="Times New Roman" w:hAnsi="Palatino Linotype" w:cs="Times New Roman"/>
          <w:i/>
          <w:iCs/>
          <w:kern w:val="0"/>
          <w:sz w:val="24"/>
          <w:szCs w:val="32"/>
          <w:lang w:val="en-GB" w:eastAsia="de-DE"/>
        </w:rPr>
        <w:t xml:space="preserve"> under NO</w:t>
      </w:r>
      <w:r w:rsidRPr="00341724">
        <w:rPr>
          <w:rFonts w:ascii="Palatino Linotype" w:eastAsia="Times New Roman" w:hAnsi="Palatino Linotype" w:cs="Times New Roman"/>
          <w:i/>
          <w:iCs/>
          <w:kern w:val="0"/>
          <w:sz w:val="24"/>
          <w:szCs w:val="32"/>
          <w:vertAlign w:val="subscript"/>
          <w:lang w:val="en-GB" w:eastAsia="de-DE"/>
        </w:rPr>
        <w:t>x</w:t>
      </w:r>
      <w:r w:rsidRPr="00341724">
        <w:rPr>
          <w:rFonts w:ascii="Palatino Linotype" w:eastAsia="Times New Roman" w:hAnsi="Palatino Linotype" w:cs="Times New Roman"/>
          <w:i/>
          <w:iCs/>
          <w:kern w:val="0"/>
          <w:sz w:val="24"/>
          <w:szCs w:val="32"/>
          <w:lang w:val="en-GB" w:eastAsia="de-DE"/>
        </w:rPr>
        <w:t>-sensitive conditions.</w:t>
      </w:r>
    </w:p>
    <w:p w14:paraId="1534F664" w14:textId="77777777" w:rsidR="00646FEF" w:rsidRDefault="00646FEF" w:rsidP="009B572B">
      <w:pPr>
        <w:widowControl/>
        <w:wordWrap/>
        <w:autoSpaceDE/>
        <w:autoSpaceDN/>
        <w:spacing w:line="276" w:lineRule="auto"/>
      </w:pPr>
    </w:p>
    <w:p w14:paraId="6E32FB2A" w14:textId="3C48563C" w:rsidR="009367EF" w:rsidRDefault="009367EF" w:rsidP="009B572B">
      <w:pPr>
        <w:widowControl/>
        <w:wordWrap/>
        <w:autoSpaceDE/>
        <w:autoSpaceDN/>
        <w:spacing w:line="276" w:lineRule="auto"/>
        <w:rPr>
          <w:rFonts w:ascii="Palatino Linotype" w:hAnsi="Palatino Linotype" w:cs="Times New Roman"/>
          <w:b/>
          <w:bCs/>
          <w:sz w:val="24"/>
          <w:szCs w:val="28"/>
          <w:shd w:val="clear" w:color="auto" w:fill="FFFFFF"/>
        </w:rPr>
      </w:pPr>
      <w:r w:rsidRPr="009367EF">
        <w:rPr>
          <w:rFonts w:ascii="Palatino Linotype" w:hAnsi="Palatino Linotype" w:cs="Times New Roman"/>
          <w:b/>
          <w:bCs/>
          <w:sz w:val="24"/>
          <w:szCs w:val="28"/>
          <w:shd w:val="clear" w:color="auto" w:fill="FFFFFF"/>
        </w:rPr>
        <w:t>(</w:t>
      </w:r>
      <w:r>
        <w:rPr>
          <w:rFonts w:ascii="Palatino Linotype" w:hAnsi="Palatino Linotype" w:cs="Times New Roman"/>
          <w:b/>
          <w:bCs/>
          <w:sz w:val="24"/>
          <w:szCs w:val="28"/>
          <w:shd w:val="clear" w:color="auto" w:fill="FFFFFF"/>
        </w:rPr>
        <w:t>3</w:t>
      </w:r>
      <w:r w:rsidRPr="009367EF">
        <w:rPr>
          <w:rFonts w:ascii="Palatino Linotype" w:hAnsi="Palatino Linotype" w:cs="Times New Roman"/>
          <w:b/>
          <w:bCs/>
          <w:sz w:val="24"/>
          <w:szCs w:val="28"/>
          <w:shd w:val="clear" w:color="auto" w:fill="FFFFFF"/>
        </w:rPr>
        <w:t>) Importance of posterior emissions for policy-relevant sensitivity diagnosis</w:t>
      </w:r>
    </w:p>
    <w:p w14:paraId="70251D56" w14:textId="255CA502" w:rsidR="00C54A67" w:rsidRDefault="000C5DB3" w:rsidP="009B572B">
      <w:pPr>
        <w:widowControl/>
        <w:wordWrap/>
        <w:autoSpaceDE/>
        <w:autoSpaceDN/>
        <w:spacing w:line="276" w:lineRule="auto"/>
        <w:rPr>
          <w:rFonts w:ascii="Palatino Linotype" w:hAnsi="Palatino Linotype" w:cs="Times New Roman"/>
          <w:b/>
          <w:bCs/>
          <w:sz w:val="24"/>
          <w:szCs w:val="28"/>
          <w:shd w:val="clear" w:color="auto" w:fill="FFFFFF"/>
        </w:rPr>
      </w:pPr>
      <w:r w:rsidRPr="000C5DB3">
        <w:rPr>
          <w:rFonts w:ascii="Palatino Linotype" w:hAnsi="Palatino Linotype" w:cs="Times New Roman"/>
          <w:b/>
          <w:bCs/>
          <w:sz w:val="24"/>
          <w:szCs w:val="28"/>
          <w:shd w:val="clear" w:color="auto" w:fill="FFFFFF"/>
        </w:rPr>
        <w:t xml:space="preserve">The comparison between the Prior and posterior </w:t>
      </w:r>
      <w:r w:rsidR="001B2181" w:rsidRPr="001B2181">
        <w:rPr>
          <w:rFonts w:ascii="Palatino Linotype" w:hAnsi="Palatino Linotype" w:cs="Times New Roman"/>
          <w:b/>
          <w:bCs/>
          <w:sz w:val="24"/>
          <w:szCs w:val="28"/>
          <w:shd w:val="clear" w:color="auto" w:fill="FFFFFF"/>
        </w:rPr>
        <w:t>(</w:t>
      </w:r>
      <w:proofErr w:type="spellStart"/>
      <w:r w:rsidR="001B2181" w:rsidRPr="001B2181">
        <w:rPr>
          <w:rFonts w:ascii="Palatino Linotype" w:hAnsi="Palatino Linotype" w:cs="Times New Roman"/>
          <w:b/>
          <w:bCs/>
          <w:sz w:val="24"/>
          <w:szCs w:val="28"/>
          <w:shd w:val="clear" w:color="auto" w:fill="FFFFFF"/>
        </w:rPr>
        <w:t>Hybrid_NOx+VOC</w:t>
      </w:r>
      <w:proofErr w:type="spellEnd"/>
      <w:r w:rsidR="001B2181" w:rsidRPr="001B2181">
        <w:rPr>
          <w:rFonts w:ascii="Palatino Linotype" w:hAnsi="Palatino Linotype" w:cs="Times New Roman"/>
          <w:b/>
          <w:bCs/>
          <w:sz w:val="24"/>
          <w:szCs w:val="28"/>
          <w:shd w:val="clear" w:color="auto" w:fill="FFFFFF"/>
        </w:rPr>
        <w:t xml:space="preserve">) </w:t>
      </w:r>
      <w:r w:rsidRPr="000C5DB3">
        <w:rPr>
          <w:rFonts w:ascii="Palatino Linotype" w:hAnsi="Palatino Linotype" w:cs="Times New Roman"/>
          <w:b/>
          <w:bCs/>
          <w:sz w:val="24"/>
          <w:szCs w:val="28"/>
          <w:shd w:val="clear" w:color="auto" w:fill="FFFFFF"/>
        </w:rPr>
        <w:t xml:space="preserve">simulations also demonstrates how policy recommendations could be misdirected if they were based only on the uncorrected Prior emissions. As shown in Fig. S6, the Prior </w:t>
      </w:r>
      <w:r w:rsidRPr="000C5DB3">
        <w:rPr>
          <w:rFonts w:ascii="Palatino Linotype" w:hAnsi="Palatino Linotype" w:cs="Times New Roman"/>
          <w:b/>
          <w:bCs/>
          <w:sz w:val="24"/>
          <w:szCs w:val="28"/>
          <w:shd w:val="clear" w:color="auto" w:fill="FFFFFF"/>
        </w:rPr>
        <w:lastRenderedPageBreak/>
        <w:t>experiment classified most of South Korea as VOC-sensitive. If this Prior-based regime diagnosis were used for policy guidance, VOC emission reductions would have been broadly prioritized as the main strategy for reducing O</w:t>
      </w:r>
      <w:r w:rsidRPr="008879EA">
        <w:rPr>
          <w:rFonts w:ascii="Palatino Linotype" w:hAnsi="Palatino Linotype" w:cs="Times New Roman"/>
          <w:b/>
          <w:bCs/>
          <w:sz w:val="24"/>
          <w:szCs w:val="28"/>
          <w:shd w:val="clear" w:color="auto" w:fill="FFFFFF"/>
          <w:vertAlign w:val="subscript"/>
        </w:rPr>
        <w:t>3</w:t>
      </w:r>
      <w:r w:rsidRPr="000C5DB3">
        <w:rPr>
          <w:rFonts w:ascii="Palatino Linotype" w:hAnsi="Palatino Linotype" w:cs="Times New Roman"/>
          <w:b/>
          <w:bCs/>
          <w:sz w:val="24"/>
          <w:szCs w:val="28"/>
          <w:shd w:val="clear" w:color="auto" w:fill="FFFFFF"/>
        </w:rPr>
        <w:t>. However, the posterior results identified substantially more NO</w:t>
      </w:r>
      <w:r w:rsidRPr="008879EA">
        <w:rPr>
          <w:rFonts w:ascii="Palatino Linotype" w:hAnsi="Palatino Linotype" w:cs="Times New Roman"/>
          <w:b/>
          <w:bCs/>
          <w:sz w:val="24"/>
          <w:szCs w:val="28"/>
          <w:shd w:val="clear" w:color="auto" w:fill="FFFFFF"/>
          <w:vertAlign w:val="subscript"/>
        </w:rPr>
        <w:t>x</w:t>
      </w:r>
      <w:r w:rsidRPr="000C5DB3">
        <w:rPr>
          <w:rFonts w:ascii="Palatino Linotype" w:hAnsi="Palatino Linotype" w:cs="Times New Roman"/>
          <w:b/>
          <w:bCs/>
          <w:sz w:val="24"/>
          <w:szCs w:val="28"/>
          <w:shd w:val="clear" w:color="auto" w:fill="FFFFFF"/>
        </w:rPr>
        <w:t>-sensitive regions, where NO</w:t>
      </w:r>
      <w:r w:rsidRPr="008F49B2">
        <w:rPr>
          <w:rFonts w:ascii="Palatino Linotype" w:hAnsi="Palatino Linotype" w:cs="Times New Roman"/>
          <w:b/>
          <w:bCs/>
          <w:sz w:val="24"/>
          <w:szCs w:val="28"/>
          <w:shd w:val="clear" w:color="auto" w:fill="FFFFFF"/>
          <w:vertAlign w:val="subscript"/>
        </w:rPr>
        <w:t>x</w:t>
      </w:r>
      <w:r w:rsidRPr="000C5DB3">
        <w:rPr>
          <w:rFonts w:ascii="Palatino Linotype" w:hAnsi="Palatino Linotype" w:cs="Times New Roman"/>
          <w:b/>
          <w:bCs/>
          <w:sz w:val="24"/>
          <w:szCs w:val="28"/>
          <w:shd w:val="clear" w:color="auto" w:fill="FFFFFF"/>
        </w:rPr>
        <w:t xml:space="preserve"> reductions are expected to be more effective than VOC reductions for lowering daytime O</w:t>
      </w:r>
      <w:r w:rsidRPr="008879EA">
        <w:rPr>
          <w:rFonts w:ascii="Palatino Linotype" w:hAnsi="Palatino Linotype" w:cs="Times New Roman"/>
          <w:b/>
          <w:bCs/>
          <w:sz w:val="24"/>
          <w:szCs w:val="28"/>
          <w:shd w:val="clear" w:color="auto" w:fill="FFFFFF"/>
          <w:vertAlign w:val="subscript"/>
        </w:rPr>
        <w:t>3</w:t>
      </w:r>
      <w:r w:rsidRPr="000C5DB3">
        <w:rPr>
          <w:rFonts w:ascii="Palatino Linotype" w:hAnsi="Palatino Linotype" w:cs="Times New Roman"/>
          <w:b/>
          <w:bCs/>
          <w:sz w:val="24"/>
          <w:szCs w:val="28"/>
          <w:shd w:val="clear" w:color="auto" w:fill="FFFFFF"/>
        </w:rPr>
        <w:t>. Therefore, relying on the Prior simulation alone could lead not only to biased estimates of precursor impacts but also to an incorrect selection of the target precursor for emission control. In other words, areas that should be managed primarily through NO</w:t>
      </w:r>
      <w:r w:rsidRPr="009C4C55">
        <w:rPr>
          <w:rFonts w:ascii="Palatino Linotype" w:hAnsi="Palatino Linotype" w:cs="Times New Roman"/>
          <w:b/>
          <w:bCs/>
          <w:sz w:val="24"/>
          <w:szCs w:val="28"/>
          <w:shd w:val="clear" w:color="auto" w:fill="FFFFFF"/>
          <w:vertAlign w:val="subscript"/>
        </w:rPr>
        <w:t>x</w:t>
      </w:r>
      <w:r w:rsidRPr="000C5DB3">
        <w:rPr>
          <w:rFonts w:ascii="Palatino Linotype" w:hAnsi="Palatino Linotype" w:cs="Times New Roman"/>
          <w:b/>
          <w:bCs/>
          <w:sz w:val="24"/>
          <w:szCs w:val="28"/>
          <w:shd w:val="clear" w:color="auto" w:fill="FFFFFF"/>
        </w:rPr>
        <w:t xml:space="preserve"> reductions could have been incorrectly treated as VOC-control regions. In addition, because the posterior NO</w:t>
      </w:r>
      <w:r w:rsidRPr="00882E01">
        <w:rPr>
          <w:rFonts w:ascii="Palatino Linotype" w:hAnsi="Palatino Linotype" w:cs="Times New Roman"/>
          <w:b/>
          <w:bCs/>
          <w:sz w:val="24"/>
          <w:szCs w:val="28"/>
          <w:shd w:val="clear" w:color="auto" w:fill="FFFFFF"/>
          <w:vertAlign w:val="subscript"/>
        </w:rPr>
        <w:t>x</w:t>
      </w:r>
      <w:r w:rsidRPr="000C5DB3">
        <w:rPr>
          <w:rFonts w:ascii="Palatino Linotype" w:hAnsi="Palatino Linotype" w:cs="Times New Roman"/>
          <w:b/>
          <w:bCs/>
          <w:sz w:val="24"/>
          <w:szCs w:val="28"/>
          <w:shd w:val="clear" w:color="auto" w:fill="FFFFFF"/>
        </w:rPr>
        <w:t xml:space="preserve"> emissions showed a substantial nighttime reduction relative to the Prior emissions, the inferred timing of effective emission controls could also differ between the Prior and posterior simulations. This demonstrates that posterior, observation-constrained emissions are essential for deriving spatially targeted, temporally resolved, and chemically appropriate O</w:t>
      </w:r>
      <w:r w:rsidRPr="009C4C55">
        <w:rPr>
          <w:rFonts w:ascii="Palatino Linotype" w:hAnsi="Palatino Linotype" w:cs="Times New Roman"/>
          <w:b/>
          <w:bCs/>
          <w:sz w:val="24"/>
          <w:szCs w:val="28"/>
          <w:shd w:val="clear" w:color="auto" w:fill="FFFFFF"/>
          <w:vertAlign w:val="subscript"/>
        </w:rPr>
        <w:t>3</w:t>
      </w:r>
      <w:r w:rsidRPr="000C5DB3">
        <w:rPr>
          <w:rFonts w:ascii="Palatino Linotype" w:hAnsi="Palatino Linotype" w:cs="Times New Roman"/>
          <w:b/>
          <w:bCs/>
          <w:sz w:val="24"/>
          <w:szCs w:val="28"/>
          <w:shd w:val="clear" w:color="auto" w:fill="FFFFFF"/>
        </w:rPr>
        <w:t xml:space="preserve"> mitigation strategies.</w:t>
      </w:r>
    </w:p>
    <w:p w14:paraId="09B169A0" w14:textId="77777777" w:rsidR="00162733" w:rsidRDefault="00162733" w:rsidP="009B572B">
      <w:pPr>
        <w:widowControl/>
        <w:wordWrap/>
        <w:autoSpaceDE/>
        <w:autoSpaceDN/>
        <w:spacing w:line="276" w:lineRule="auto"/>
        <w:rPr>
          <w:rFonts w:ascii="Palatino Linotype" w:hAnsi="Palatino Linotype" w:cs="Times New Roman"/>
          <w:b/>
          <w:bCs/>
          <w:sz w:val="24"/>
          <w:szCs w:val="28"/>
          <w:shd w:val="clear" w:color="auto" w:fill="FFFFFF"/>
        </w:rPr>
      </w:pPr>
    </w:p>
    <w:p w14:paraId="233DB21F" w14:textId="0170AF3F" w:rsidR="009C4C55" w:rsidRPr="009C4C55" w:rsidRDefault="009C4C55" w:rsidP="009C4C55">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4</w:t>
      </w:r>
      <w:r w:rsidRPr="00964E09">
        <w:rPr>
          <w:rFonts w:ascii="Palatino Linotype" w:hAnsi="Palatino Linotype" w:cs="Times New Roman"/>
          <w:i/>
          <w:color w:val="0A0A0A"/>
          <w:sz w:val="24"/>
          <w:szCs w:val="24"/>
          <w:shd w:val="clear" w:color="auto" w:fill="FEFEFE"/>
        </w:rPr>
        <w:t xml:space="preserve"> in the revised manuscript&gt;</w:t>
      </w:r>
    </w:p>
    <w:p w14:paraId="277DDB66" w14:textId="77777777" w:rsidR="00B0731B" w:rsidRPr="00B0731B" w:rsidRDefault="00B0731B" w:rsidP="00B0731B">
      <w:pPr>
        <w:wordWrap/>
        <w:spacing w:before="240"/>
        <w:rPr>
          <w:rFonts w:ascii="Palatino Linotype" w:eastAsia="Times New Roman" w:hAnsi="Palatino Linotype" w:cs="Times New Roman"/>
          <w:i/>
          <w:iCs/>
          <w:kern w:val="0"/>
          <w:sz w:val="24"/>
          <w:szCs w:val="32"/>
          <w:lang w:val="en-GB" w:eastAsia="de-DE"/>
        </w:rPr>
      </w:pPr>
      <w:r w:rsidRPr="00B0731B">
        <w:rPr>
          <w:rFonts w:ascii="Palatino Linotype" w:eastAsia="Times New Roman" w:hAnsi="Palatino Linotype" w:cs="Times New Roman"/>
          <w:i/>
          <w:iCs/>
          <w:kern w:val="0"/>
          <w:sz w:val="24"/>
          <w:szCs w:val="32"/>
          <w:lang w:val="en-GB" w:eastAsia="de-DE"/>
        </w:rPr>
        <w:t>The comparison between the Prior and posterior (</w:t>
      </w:r>
      <w:proofErr w:type="spellStart"/>
      <w:r w:rsidRPr="00B0731B">
        <w:rPr>
          <w:rFonts w:ascii="Palatino Linotype" w:eastAsia="Times New Roman" w:hAnsi="Palatino Linotype" w:cs="Times New Roman"/>
          <w:i/>
          <w:iCs/>
          <w:kern w:val="0"/>
          <w:sz w:val="24"/>
          <w:szCs w:val="32"/>
          <w:lang w:val="en-GB" w:eastAsia="de-DE"/>
        </w:rPr>
        <w:t>Hybrid_NOx+VOC</w:t>
      </w:r>
      <w:proofErr w:type="spellEnd"/>
      <w:r w:rsidRPr="00B0731B">
        <w:rPr>
          <w:rFonts w:ascii="Palatino Linotype" w:eastAsia="Times New Roman" w:hAnsi="Palatino Linotype" w:cs="Times New Roman"/>
          <w:i/>
          <w:iCs/>
          <w:kern w:val="0"/>
          <w:sz w:val="24"/>
          <w:szCs w:val="32"/>
          <w:lang w:val="en-GB" w:eastAsia="de-DE"/>
        </w:rPr>
        <w:t>) simulations further demonstrates the value of using observation-constrained emissions to refine policy-relevant O</w:t>
      </w:r>
      <w:r w:rsidRPr="00B0731B">
        <w:rPr>
          <w:rFonts w:ascii="Palatino Linotype" w:eastAsia="Times New Roman" w:hAnsi="Palatino Linotype" w:cs="Times New Roman"/>
          <w:i/>
          <w:iCs/>
          <w:kern w:val="0"/>
          <w:sz w:val="24"/>
          <w:szCs w:val="32"/>
          <w:vertAlign w:val="subscript"/>
          <w:lang w:val="en-GB" w:eastAsia="de-DE"/>
        </w:rPr>
        <w:t>3</w:t>
      </w:r>
      <w:r w:rsidRPr="00B0731B">
        <w:rPr>
          <w:rFonts w:ascii="Palatino Linotype" w:eastAsia="Times New Roman" w:hAnsi="Palatino Linotype" w:cs="Times New Roman"/>
          <w:i/>
          <w:iCs/>
          <w:kern w:val="0"/>
          <w:sz w:val="24"/>
          <w:szCs w:val="32"/>
          <w:lang w:val="en-GB" w:eastAsia="de-DE"/>
        </w:rPr>
        <w:t xml:space="preserve"> sensitivity diagnostics. As shown in Fig. S6, the Prior experiment classified most of South Korea as VOC-sensitive, suggesting that VOC reductions would be broadly prioritized based on the Prior emissions. In contrast, the posterior results identified substantially more NO</w:t>
      </w:r>
      <w:r w:rsidRPr="00B0731B">
        <w:rPr>
          <w:rFonts w:ascii="Palatino Linotype" w:eastAsia="Times New Roman" w:hAnsi="Palatino Linotype" w:cs="Times New Roman"/>
          <w:i/>
          <w:iCs/>
          <w:kern w:val="0"/>
          <w:sz w:val="24"/>
          <w:szCs w:val="32"/>
          <w:vertAlign w:val="subscript"/>
          <w:lang w:val="en-GB" w:eastAsia="de-DE"/>
        </w:rPr>
        <w:t>x</w:t>
      </w:r>
      <w:r w:rsidRPr="00B0731B">
        <w:rPr>
          <w:rFonts w:ascii="Palatino Linotype" w:eastAsia="Times New Roman" w:hAnsi="Palatino Linotype" w:cs="Times New Roman"/>
          <w:i/>
          <w:iCs/>
          <w:kern w:val="0"/>
          <w:sz w:val="24"/>
          <w:szCs w:val="32"/>
          <w:lang w:val="en-GB" w:eastAsia="de-DE"/>
        </w:rPr>
        <w:t>-sensitive regions, where NOx reductions are expected to be more effective than VOC reductions for lowering daytime O</w:t>
      </w:r>
      <w:r w:rsidRPr="00B0731B">
        <w:rPr>
          <w:rFonts w:ascii="Palatino Linotype" w:eastAsia="Times New Roman" w:hAnsi="Palatino Linotype" w:cs="Times New Roman"/>
          <w:i/>
          <w:iCs/>
          <w:kern w:val="0"/>
          <w:sz w:val="24"/>
          <w:szCs w:val="32"/>
          <w:vertAlign w:val="subscript"/>
          <w:lang w:val="en-GB" w:eastAsia="de-DE"/>
        </w:rPr>
        <w:t>3</w:t>
      </w:r>
      <w:r w:rsidRPr="00B0731B">
        <w:rPr>
          <w:rFonts w:ascii="Palatino Linotype" w:eastAsia="Times New Roman" w:hAnsi="Palatino Linotype" w:cs="Times New Roman"/>
          <w:i/>
          <w:iCs/>
          <w:kern w:val="0"/>
          <w:sz w:val="24"/>
          <w:szCs w:val="32"/>
          <w:lang w:val="en-GB" w:eastAsia="de-DE"/>
        </w:rPr>
        <w:t>. Thus, the posterior simulation complements the Prior inventory by providing a more spatially differentiated diagnosis of target precursors for emission control. Moreover, because the posterior NO</w:t>
      </w:r>
      <w:r w:rsidRPr="00B0731B">
        <w:rPr>
          <w:rFonts w:ascii="Palatino Linotype" w:eastAsia="Times New Roman" w:hAnsi="Palatino Linotype" w:cs="Times New Roman"/>
          <w:i/>
          <w:iCs/>
          <w:kern w:val="0"/>
          <w:sz w:val="24"/>
          <w:szCs w:val="32"/>
          <w:vertAlign w:val="subscript"/>
          <w:lang w:val="en-GB" w:eastAsia="de-DE"/>
        </w:rPr>
        <w:t>x</w:t>
      </w:r>
      <w:r w:rsidRPr="00B0731B">
        <w:rPr>
          <w:rFonts w:ascii="Palatino Linotype" w:eastAsia="Times New Roman" w:hAnsi="Palatino Linotype" w:cs="Times New Roman"/>
          <w:i/>
          <w:iCs/>
          <w:kern w:val="0"/>
          <w:sz w:val="24"/>
          <w:szCs w:val="32"/>
          <w:lang w:val="en-GB" w:eastAsia="de-DE"/>
        </w:rPr>
        <w:t xml:space="preserve"> emissions showed a substantial </w:t>
      </w:r>
      <w:proofErr w:type="spellStart"/>
      <w:r w:rsidRPr="00B0731B">
        <w:rPr>
          <w:rFonts w:ascii="Palatino Linotype" w:eastAsia="Times New Roman" w:hAnsi="Palatino Linotype" w:cs="Times New Roman"/>
          <w:i/>
          <w:iCs/>
          <w:kern w:val="0"/>
          <w:sz w:val="24"/>
          <w:szCs w:val="32"/>
          <w:lang w:val="en-GB" w:eastAsia="de-DE"/>
        </w:rPr>
        <w:t>nighttime</w:t>
      </w:r>
      <w:proofErr w:type="spellEnd"/>
      <w:r w:rsidRPr="00B0731B">
        <w:rPr>
          <w:rFonts w:ascii="Palatino Linotype" w:eastAsia="Times New Roman" w:hAnsi="Palatino Linotype" w:cs="Times New Roman"/>
          <w:i/>
          <w:iCs/>
          <w:kern w:val="0"/>
          <w:sz w:val="24"/>
          <w:szCs w:val="32"/>
          <w:lang w:val="en-GB" w:eastAsia="de-DE"/>
        </w:rPr>
        <w:t xml:space="preserve"> reduction relative to the Prior emissions (Fig. 6), the inferred timing of effective controls could also differ between the Prior and posterior simulations. These differences demonstrate that posterior, observation-constrained emissions provide a more reliable basis for deriving spatially targeted, time-specific, and chemically appropriate O</w:t>
      </w:r>
      <w:r w:rsidRPr="00B0731B">
        <w:rPr>
          <w:rFonts w:ascii="Palatino Linotype" w:eastAsia="Times New Roman" w:hAnsi="Palatino Linotype" w:cs="Times New Roman"/>
          <w:i/>
          <w:iCs/>
          <w:kern w:val="0"/>
          <w:sz w:val="24"/>
          <w:szCs w:val="32"/>
          <w:vertAlign w:val="subscript"/>
          <w:lang w:val="en-GB" w:eastAsia="de-DE"/>
        </w:rPr>
        <w:t>3</w:t>
      </w:r>
      <w:r w:rsidRPr="00B0731B">
        <w:rPr>
          <w:rFonts w:ascii="Palatino Linotype" w:eastAsia="Times New Roman" w:hAnsi="Palatino Linotype" w:cs="Times New Roman"/>
          <w:i/>
          <w:iCs/>
          <w:kern w:val="0"/>
          <w:sz w:val="24"/>
          <w:szCs w:val="32"/>
          <w:lang w:val="en-GB" w:eastAsia="de-DE"/>
        </w:rPr>
        <w:t xml:space="preserve"> mitigation strategies.</w:t>
      </w:r>
    </w:p>
    <w:p w14:paraId="72FB71C1" w14:textId="6C08C516" w:rsidR="009C4C55" w:rsidRPr="003A7E34" w:rsidRDefault="003A7E34" w:rsidP="003A7E34">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Pr>
          <w:rFonts w:ascii="Palatino Linotype" w:hAnsi="Palatino Linotype" w:cs="Times New Roman"/>
          <w:i/>
          <w:color w:val="0A0A0A"/>
          <w:sz w:val="24"/>
          <w:szCs w:val="24"/>
          <w:shd w:val="clear" w:color="auto" w:fill="FEFEFE"/>
        </w:rPr>
        <w:t>4</w:t>
      </w:r>
      <w:r w:rsidRPr="00964E09">
        <w:rPr>
          <w:rFonts w:ascii="Palatino Linotype" w:hAnsi="Palatino Linotype" w:cs="Times New Roman"/>
          <w:i/>
          <w:color w:val="0A0A0A"/>
          <w:sz w:val="24"/>
          <w:szCs w:val="24"/>
          <w:shd w:val="clear" w:color="auto" w:fill="FEFEFE"/>
        </w:rPr>
        <w:t xml:space="preserve"> in the revised manuscript&gt;</w:t>
      </w:r>
    </w:p>
    <w:p w14:paraId="5910DBE3" w14:textId="27ED5290" w:rsidR="003A7E34" w:rsidRDefault="003A7E34" w:rsidP="009B572B">
      <w:pPr>
        <w:widowControl/>
        <w:wordWrap/>
        <w:autoSpaceDE/>
        <w:autoSpaceDN/>
        <w:spacing w:line="276" w:lineRule="auto"/>
        <w:rPr>
          <w:rFonts w:ascii="Palatino Linotype" w:hAnsi="Palatino Linotype" w:cs="Times New Roman"/>
          <w:i/>
          <w:iCs/>
          <w:sz w:val="24"/>
          <w:szCs w:val="28"/>
          <w:shd w:val="clear" w:color="auto" w:fill="FFFFFF"/>
        </w:rPr>
      </w:pPr>
      <w:r w:rsidRPr="003D541E">
        <w:rPr>
          <w:rFonts w:ascii="Palatino Linotype" w:hAnsi="Palatino Linotype" w:cs="Times New Roman"/>
          <w:i/>
          <w:iCs/>
          <w:sz w:val="24"/>
          <w:szCs w:val="28"/>
          <w:shd w:val="clear" w:color="auto" w:fill="FFFFFF"/>
        </w:rPr>
        <w:t xml:space="preserve">The contrast between the Prior and </w:t>
      </w:r>
      <w:proofErr w:type="spellStart"/>
      <w:r w:rsidRPr="003D541E">
        <w:rPr>
          <w:rFonts w:ascii="Palatino Linotype" w:hAnsi="Palatino Linotype" w:cs="Times New Roman"/>
          <w:i/>
          <w:iCs/>
          <w:sz w:val="24"/>
          <w:szCs w:val="28"/>
          <w:shd w:val="clear" w:color="auto" w:fill="FFFFFF"/>
        </w:rPr>
        <w:t>Hybrid_NOx+VOC</w:t>
      </w:r>
      <w:proofErr w:type="spellEnd"/>
      <w:r w:rsidRPr="003D541E">
        <w:rPr>
          <w:rFonts w:ascii="Palatino Linotype" w:hAnsi="Palatino Linotype" w:cs="Times New Roman"/>
          <w:i/>
          <w:iCs/>
          <w:sz w:val="24"/>
          <w:szCs w:val="28"/>
          <w:shd w:val="clear" w:color="auto" w:fill="FFFFFF"/>
        </w:rPr>
        <w:t xml:space="preserve"> experiments further highlights the value of observation-constrained posterior emissions in refining policy-relevant O</w:t>
      </w:r>
      <w:r w:rsidRPr="003D541E">
        <w:rPr>
          <w:rFonts w:ascii="Palatino Linotype" w:hAnsi="Palatino Linotype" w:cs="Times New Roman"/>
          <w:i/>
          <w:iCs/>
          <w:sz w:val="24"/>
          <w:szCs w:val="28"/>
          <w:shd w:val="clear" w:color="auto" w:fill="FFFFFF"/>
          <w:vertAlign w:val="subscript"/>
        </w:rPr>
        <w:t>3</w:t>
      </w:r>
      <w:r w:rsidRPr="003D541E">
        <w:rPr>
          <w:rFonts w:ascii="Palatino Linotype" w:hAnsi="Palatino Linotype" w:cs="Times New Roman"/>
          <w:i/>
          <w:iCs/>
          <w:sz w:val="24"/>
          <w:szCs w:val="28"/>
          <w:shd w:val="clear" w:color="auto" w:fill="FFFFFF"/>
        </w:rPr>
        <w:t xml:space="preserve"> sensitivity diagnostics. The Prior experiment provided a broad initial indication of VOC-sensitive </w:t>
      </w:r>
      <w:r w:rsidRPr="003D541E">
        <w:rPr>
          <w:rFonts w:ascii="Palatino Linotype" w:hAnsi="Palatino Linotype" w:cs="Times New Roman"/>
          <w:i/>
          <w:iCs/>
          <w:sz w:val="24"/>
          <w:szCs w:val="28"/>
          <w:shd w:val="clear" w:color="auto" w:fill="FFFFFF"/>
        </w:rPr>
        <w:lastRenderedPageBreak/>
        <w:t>conditions over South Korea, while the posterior emissions revealed more spatially differentiated sensitivity regimes, including more extensive NO</w:t>
      </w:r>
      <w:r w:rsidRPr="003D541E">
        <w:rPr>
          <w:rFonts w:ascii="Palatino Linotype" w:hAnsi="Palatino Linotype" w:cs="Times New Roman"/>
          <w:i/>
          <w:iCs/>
          <w:sz w:val="24"/>
          <w:szCs w:val="28"/>
          <w:shd w:val="clear" w:color="auto" w:fill="FFFFFF"/>
          <w:vertAlign w:val="subscript"/>
        </w:rPr>
        <w:t>x</w:t>
      </w:r>
      <w:r w:rsidRPr="003D541E">
        <w:rPr>
          <w:rFonts w:ascii="Palatino Linotype" w:hAnsi="Palatino Linotype" w:cs="Times New Roman"/>
          <w:i/>
          <w:iCs/>
          <w:sz w:val="24"/>
          <w:szCs w:val="28"/>
          <w:shd w:val="clear" w:color="auto" w:fill="FFFFFF"/>
        </w:rPr>
        <w:t>-sensitive regions. This suggests that the hybrid inversion can complement prior emission inventories by improving the representation of both the target precursor and the timing of effective emission controls. Therefore, observation-constrained posterior emissions provide an important basis for developing spatially targeted, time-specific, and chemically appropriate O</w:t>
      </w:r>
      <w:r w:rsidRPr="003D541E">
        <w:rPr>
          <w:rFonts w:ascii="Palatino Linotype" w:hAnsi="Palatino Linotype" w:cs="Times New Roman"/>
          <w:i/>
          <w:iCs/>
          <w:sz w:val="24"/>
          <w:szCs w:val="28"/>
          <w:shd w:val="clear" w:color="auto" w:fill="FFFFFF"/>
          <w:vertAlign w:val="subscript"/>
        </w:rPr>
        <w:t>3</w:t>
      </w:r>
      <w:r w:rsidRPr="003D541E">
        <w:rPr>
          <w:rFonts w:ascii="Palatino Linotype" w:hAnsi="Palatino Linotype" w:cs="Times New Roman"/>
          <w:i/>
          <w:iCs/>
          <w:sz w:val="24"/>
          <w:szCs w:val="28"/>
          <w:shd w:val="clear" w:color="auto" w:fill="FFFFFF"/>
        </w:rPr>
        <w:t xml:space="preserve"> mitigation strategies.</w:t>
      </w:r>
    </w:p>
    <w:p w14:paraId="738CFB48" w14:textId="77777777" w:rsidR="003D541E" w:rsidRPr="003D541E" w:rsidRDefault="003D541E" w:rsidP="009B572B">
      <w:pPr>
        <w:widowControl/>
        <w:wordWrap/>
        <w:autoSpaceDE/>
        <w:autoSpaceDN/>
        <w:spacing w:line="276" w:lineRule="auto"/>
        <w:rPr>
          <w:rFonts w:ascii="Palatino Linotype" w:hAnsi="Palatino Linotype" w:cs="Times New Roman"/>
          <w:i/>
          <w:iCs/>
          <w:sz w:val="24"/>
          <w:szCs w:val="28"/>
          <w:shd w:val="clear" w:color="auto" w:fill="FFFFFF"/>
        </w:rPr>
      </w:pPr>
    </w:p>
    <w:p w14:paraId="593C1539" w14:textId="049C225B" w:rsidR="006C15DA" w:rsidRDefault="006C15DA" w:rsidP="002402DF">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09278B43" w14:textId="69434ED6" w:rsidR="00A10DCC" w:rsidRPr="00A10DCC" w:rsidRDefault="00A10DCC" w:rsidP="00D25834">
      <w:pPr>
        <w:widowControl/>
        <w:wordWrap/>
        <w:autoSpaceDE/>
        <w:autoSpaceDN/>
        <w:rPr>
          <w:rFonts w:ascii="Palatino Linotype" w:eastAsia="굴림" w:hAnsi="Palatino Linotype" w:cs="Times New Roman"/>
          <w:b/>
          <w:bCs/>
          <w:color w:val="0A0A0A"/>
          <w:kern w:val="0"/>
          <w:sz w:val="24"/>
          <w:szCs w:val="24"/>
          <w:u w:val="single"/>
        </w:rPr>
      </w:pPr>
      <w:r w:rsidRPr="00A10DCC">
        <w:rPr>
          <w:rFonts w:ascii="Palatino Linotype" w:eastAsia="굴림" w:hAnsi="Palatino Linotype" w:cs="Times New Roman" w:hint="eastAsia"/>
          <w:b/>
          <w:bCs/>
          <w:color w:val="0A0A0A"/>
          <w:kern w:val="0"/>
          <w:sz w:val="24"/>
          <w:szCs w:val="24"/>
          <w:u w:val="single"/>
        </w:rPr>
        <w:lastRenderedPageBreak/>
        <w:t>R</w:t>
      </w:r>
      <w:r w:rsidRPr="00A10DCC">
        <w:rPr>
          <w:rFonts w:ascii="Palatino Linotype" w:eastAsia="굴림" w:hAnsi="Palatino Linotype" w:cs="Times New Roman"/>
          <w:b/>
          <w:bCs/>
          <w:color w:val="0A0A0A"/>
          <w:kern w:val="0"/>
          <w:sz w:val="24"/>
          <w:szCs w:val="24"/>
          <w:u w:val="single"/>
        </w:rPr>
        <w:t>C</w:t>
      </w:r>
      <w:r w:rsidR="007F2878">
        <w:rPr>
          <w:rFonts w:ascii="Palatino Linotype" w:eastAsia="굴림" w:hAnsi="Palatino Linotype" w:cs="Times New Roman"/>
          <w:b/>
          <w:bCs/>
          <w:color w:val="0A0A0A"/>
          <w:kern w:val="0"/>
          <w:sz w:val="24"/>
          <w:szCs w:val="24"/>
          <w:u w:val="single"/>
        </w:rPr>
        <w:t>2</w:t>
      </w:r>
      <w:r w:rsidRPr="00A10DCC">
        <w:rPr>
          <w:rFonts w:ascii="Palatino Linotype" w:eastAsia="굴림" w:hAnsi="Palatino Linotype" w:cs="Times New Roman"/>
          <w:b/>
          <w:bCs/>
          <w:color w:val="0A0A0A"/>
          <w:kern w:val="0"/>
          <w:sz w:val="24"/>
          <w:szCs w:val="24"/>
          <w:u w:val="single"/>
        </w:rPr>
        <w:t>: Specific comments and responses</w:t>
      </w:r>
    </w:p>
    <w:p w14:paraId="50A2F8DE" w14:textId="3CD42F8B"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1</w:t>
      </w:r>
      <w:r>
        <w:rPr>
          <w:rFonts w:ascii="Palatino Linotype" w:eastAsia="굴림" w:hAnsi="Palatino Linotype" w:cs="Times New Roman"/>
          <w:color w:val="0A0A0A"/>
          <w:kern w:val="0"/>
          <w:sz w:val="24"/>
          <w:szCs w:val="24"/>
        </w:rPr>
        <w:t xml:space="preserve">: </w:t>
      </w:r>
      <w:r w:rsidR="006068B6">
        <w:rPr>
          <w:rFonts w:ascii="Palatino Linotype" w:eastAsia="굴림" w:hAnsi="Palatino Linotype" w:cs="Times New Roman"/>
          <w:color w:val="0A0A0A"/>
          <w:kern w:val="0"/>
          <w:sz w:val="24"/>
          <w:szCs w:val="24"/>
        </w:rPr>
        <w:t>L</w:t>
      </w:r>
      <w:r w:rsidR="006068B6" w:rsidRPr="006068B6">
        <w:rPr>
          <w:rFonts w:ascii="Palatino Linotype" w:eastAsia="굴림" w:hAnsi="Palatino Linotype" w:cs="Times New Roman"/>
          <w:color w:val="0A0A0A"/>
          <w:kern w:val="0"/>
          <w:sz w:val="24"/>
          <w:szCs w:val="24"/>
        </w:rPr>
        <w:t>31: Is there anything else that the adjoint sensitivities show, in terms of spatial or hourly characteristics? That VOC controls are most effective under VOC sensitive conditions is rather obvious / circular, as this is explained on lines 48-50.</w:t>
      </w:r>
    </w:p>
    <w:p w14:paraId="17323178" w14:textId="6AA995C4" w:rsidR="00D25834" w:rsidRDefault="005F3CD3" w:rsidP="00D25834">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sidR="005B70A1" w:rsidRPr="005B70A1">
        <w:t xml:space="preserve"> </w:t>
      </w:r>
      <w:r w:rsidR="005B70A1" w:rsidRPr="005B70A1">
        <w:rPr>
          <w:rFonts w:ascii="Palatino Linotype" w:hAnsi="Palatino Linotype" w:cs="Times New Roman"/>
          <w:b/>
          <w:bCs/>
          <w:sz w:val="24"/>
          <w:szCs w:val="28"/>
          <w:shd w:val="clear" w:color="auto" w:fill="FFFFFF"/>
        </w:rPr>
        <w:t>We agree that the statement regarding VOC controls under VOC-sensitive conditions is a well-established concept. To address this, we have revised the Abstract to remove the circular statement and instead highlight the novel hour-dependent characteristics revealed by our adjoint analysis: specifically, the 1–</w:t>
      </w:r>
      <w:proofErr w:type="gramStart"/>
      <w:r w:rsidR="005B70A1" w:rsidRPr="005B70A1">
        <w:rPr>
          <w:rFonts w:ascii="Palatino Linotype" w:hAnsi="Palatino Linotype" w:cs="Times New Roman"/>
          <w:b/>
          <w:bCs/>
          <w:sz w:val="24"/>
          <w:szCs w:val="28"/>
          <w:shd w:val="clear" w:color="auto" w:fill="FFFFFF"/>
        </w:rPr>
        <w:t>2 hour</w:t>
      </w:r>
      <w:proofErr w:type="gramEnd"/>
      <w:r w:rsidR="005B70A1" w:rsidRPr="005B70A1">
        <w:rPr>
          <w:rFonts w:ascii="Palatino Linotype" w:hAnsi="Palatino Linotype" w:cs="Times New Roman"/>
          <w:b/>
          <w:bCs/>
          <w:sz w:val="24"/>
          <w:szCs w:val="28"/>
          <w:shd w:val="clear" w:color="auto" w:fill="FFFFFF"/>
        </w:rPr>
        <w:t xml:space="preserve"> temporal lag for VOC-driven O</w:t>
      </w:r>
      <w:r w:rsidR="005B70A1" w:rsidRPr="005B70A1">
        <w:rPr>
          <w:rFonts w:ascii="Palatino Linotype" w:hAnsi="Palatino Linotype" w:cs="Times New Roman"/>
          <w:b/>
          <w:bCs/>
          <w:sz w:val="24"/>
          <w:szCs w:val="28"/>
          <w:shd w:val="clear" w:color="auto" w:fill="FFFFFF"/>
          <w:vertAlign w:val="subscript"/>
        </w:rPr>
        <w:t>3</w:t>
      </w:r>
      <w:r w:rsidR="005B70A1" w:rsidRPr="005B70A1">
        <w:rPr>
          <w:rFonts w:ascii="Palatino Linotype" w:hAnsi="Palatino Linotype" w:cs="Times New Roman"/>
          <w:b/>
          <w:bCs/>
          <w:sz w:val="24"/>
          <w:szCs w:val="28"/>
          <w:shd w:val="clear" w:color="auto" w:fill="FFFFFF"/>
        </w:rPr>
        <w:t xml:space="preserve"> production compared to immediate NO</w:t>
      </w:r>
      <w:r w:rsidR="005B70A1" w:rsidRPr="00E60B55">
        <w:rPr>
          <w:rFonts w:ascii="Palatino Linotype" w:hAnsi="Palatino Linotype" w:cs="Times New Roman"/>
          <w:b/>
          <w:bCs/>
          <w:sz w:val="24"/>
          <w:szCs w:val="28"/>
          <w:shd w:val="clear" w:color="auto" w:fill="FFFFFF"/>
          <w:vertAlign w:val="subscript"/>
        </w:rPr>
        <w:t>x</w:t>
      </w:r>
      <w:r w:rsidR="005B70A1" w:rsidRPr="005B70A1">
        <w:rPr>
          <w:rFonts w:ascii="Palatino Linotype" w:hAnsi="Palatino Linotype" w:cs="Times New Roman"/>
          <w:b/>
          <w:bCs/>
          <w:sz w:val="24"/>
          <w:szCs w:val="28"/>
          <w:shd w:val="clear" w:color="auto" w:fill="FFFFFF"/>
        </w:rPr>
        <w:t xml:space="preserve"> titration, and the nighttime O</w:t>
      </w:r>
      <w:r w:rsidR="005B70A1" w:rsidRPr="00E60B55">
        <w:rPr>
          <w:rFonts w:ascii="Palatino Linotype" w:hAnsi="Palatino Linotype" w:cs="Times New Roman"/>
          <w:b/>
          <w:bCs/>
          <w:sz w:val="24"/>
          <w:szCs w:val="28"/>
          <w:shd w:val="clear" w:color="auto" w:fill="FFFFFF"/>
          <w:vertAlign w:val="subscript"/>
        </w:rPr>
        <w:t>3</w:t>
      </w:r>
      <w:r w:rsidR="005B70A1" w:rsidRPr="005B70A1">
        <w:rPr>
          <w:rFonts w:ascii="Palatino Linotype" w:hAnsi="Palatino Linotype" w:cs="Times New Roman"/>
          <w:b/>
          <w:bCs/>
          <w:sz w:val="24"/>
          <w:szCs w:val="28"/>
          <w:shd w:val="clear" w:color="auto" w:fill="FFFFFF"/>
        </w:rPr>
        <w:t xml:space="preserve"> depletion caused by biogenic VOCs.</w:t>
      </w:r>
    </w:p>
    <w:p w14:paraId="592D99AF" w14:textId="070A718D" w:rsidR="001E5D7A" w:rsidRPr="003A7E34" w:rsidRDefault="001E5D7A" w:rsidP="001E5D7A">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Abstract</w:t>
      </w:r>
      <w:r w:rsidRPr="00964E09">
        <w:rPr>
          <w:rFonts w:ascii="Palatino Linotype" w:hAnsi="Palatino Linotype" w:cs="Times New Roman"/>
          <w:i/>
          <w:color w:val="0A0A0A"/>
          <w:sz w:val="24"/>
          <w:szCs w:val="24"/>
          <w:shd w:val="clear" w:color="auto" w:fill="FEFEFE"/>
        </w:rPr>
        <w:t xml:space="preserve"> in the revised manuscript&gt;</w:t>
      </w:r>
    </w:p>
    <w:p w14:paraId="0EECAD3E" w14:textId="1B57E5A0" w:rsidR="005F3CD3" w:rsidRDefault="004C6E78" w:rsidP="00D25834">
      <w:pPr>
        <w:widowControl/>
        <w:wordWrap/>
        <w:autoSpaceDE/>
        <w:autoSpaceDN/>
        <w:rPr>
          <w:rFonts w:ascii="Palatino Linotype" w:eastAsia="굴림" w:hAnsi="Palatino Linotype" w:cs="Times New Roman"/>
          <w:i/>
          <w:iCs/>
          <w:color w:val="0A0A0A"/>
          <w:kern w:val="0"/>
          <w:sz w:val="24"/>
          <w:szCs w:val="24"/>
        </w:rPr>
      </w:pPr>
      <w:r w:rsidRPr="004C6E78">
        <w:rPr>
          <w:rFonts w:ascii="Palatino Linotype" w:eastAsia="굴림" w:hAnsi="Palatino Linotype" w:cs="Times New Roman"/>
          <w:i/>
          <w:iCs/>
          <w:color w:val="0A0A0A"/>
          <w:kern w:val="0"/>
          <w:sz w:val="24"/>
          <w:szCs w:val="24"/>
        </w:rPr>
        <w:t>Adjoint-based hourly ΔO</w:t>
      </w:r>
      <w:r w:rsidRPr="004C6E78">
        <w:rPr>
          <w:rFonts w:ascii="Palatino Linotype" w:eastAsia="굴림" w:hAnsi="Palatino Linotype" w:cs="Times New Roman"/>
          <w:i/>
          <w:iCs/>
          <w:color w:val="0A0A0A"/>
          <w:kern w:val="0"/>
          <w:sz w:val="24"/>
          <w:szCs w:val="24"/>
          <w:vertAlign w:val="subscript"/>
        </w:rPr>
        <w:t>3</w:t>
      </w:r>
      <w:r w:rsidRPr="004C6E78">
        <w:rPr>
          <w:rFonts w:ascii="Palatino Linotype" w:eastAsia="굴림" w:hAnsi="Palatino Linotype" w:cs="Times New Roman"/>
          <w:i/>
          <w:iCs/>
          <w:color w:val="0A0A0A"/>
          <w:kern w:val="0"/>
          <w:sz w:val="24"/>
          <w:szCs w:val="24"/>
        </w:rPr>
        <w:t xml:space="preserve"> responses reveal distinct temporal characteristics: O</w:t>
      </w:r>
      <w:r w:rsidRPr="004C6E78">
        <w:rPr>
          <w:rFonts w:ascii="Palatino Linotype" w:eastAsia="굴림" w:hAnsi="Palatino Linotype" w:cs="Times New Roman"/>
          <w:i/>
          <w:iCs/>
          <w:color w:val="0A0A0A"/>
          <w:kern w:val="0"/>
          <w:sz w:val="24"/>
          <w:szCs w:val="24"/>
          <w:vertAlign w:val="subscript"/>
        </w:rPr>
        <w:t>3</w:t>
      </w:r>
      <w:r w:rsidRPr="004C6E78">
        <w:rPr>
          <w:rFonts w:ascii="Palatino Linotype" w:eastAsia="굴림" w:hAnsi="Palatino Linotype" w:cs="Times New Roman"/>
          <w:i/>
          <w:iCs/>
          <w:color w:val="0A0A0A"/>
          <w:kern w:val="0"/>
          <w:sz w:val="24"/>
          <w:szCs w:val="24"/>
        </w:rPr>
        <w:t xml:space="preserve"> titration by NO</w:t>
      </w:r>
      <w:r w:rsidRPr="004C6E78">
        <w:rPr>
          <w:rFonts w:ascii="Palatino Linotype" w:eastAsia="굴림" w:hAnsi="Palatino Linotype" w:cs="Times New Roman"/>
          <w:i/>
          <w:iCs/>
          <w:color w:val="0A0A0A"/>
          <w:kern w:val="0"/>
          <w:sz w:val="24"/>
          <w:szCs w:val="24"/>
          <w:vertAlign w:val="subscript"/>
        </w:rPr>
        <w:t>x</w:t>
      </w:r>
      <w:r w:rsidRPr="004C6E78">
        <w:rPr>
          <w:rFonts w:ascii="Palatino Linotype" w:eastAsia="굴림" w:hAnsi="Palatino Linotype" w:cs="Times New Roman"/>
          <w:i/>
          <w:iCs/>
          <w:color w:val="0A0A0A"/>
          <w:kern w:val="0"/>
          <w:sz w:val="24"/>
          <w:szCs w:val="24"/>
        </w:rPr>
        <w:t xml:space="preserve"> is immediate, whereas photochemical O</w:t>
      </w:r>
      <w:r w:rsidRPr="004C6E78">
        <w:rPr>
          <w:rFonts w:ascii="Palatino Linotype" w:eastAsia="굴림" w:hAnsi="Palatino Linotype" w:cs="Times New Roman"/>
          <w:i/>
          <w:iCs/>
          <w:color w:val="0A0A0A"/>
          <w:kern w:val="0"/>
          <w:sz w:val="24"/>
          <w:szCs w:val="24"/>
          <w:vertAlign w:val="subscript"/>
        </w:rPr>
        <w:t>3</w:t>
      </w:r>
      <w:r w:rsidRPr="004C6E78">
        <w:rPr>
          <w:rFonts w:ascii="Palatino Linotype" w:eastAsia="굴림" w:hAnsi="Palatino Linotype" w:cs="Times New Roman"/>
          <w:i/>
          <w:iCs/>
          <w:color w:val="0A0A0A"/>
          <w:kern w:val="0"/>
          <w:sz w:val="24"/>
          <w:szCs w:val="24"/>
        </w:rPr>
        <w:t xml:space="preserve"> production by VOCs requires a 1–</w:t>
      </w:r>
      <w:proofErr w:type="gramStart"/>
      <w:r w:rsidRPr="004C6E78">
        <w:rPr>
          <w:rFonts w:ascii="Palatino Linotype" w:eastAsia="굴림" w:hAnsi="Palatino Linotype" w:cs="Times New Roman"/>
          <w:i/>
          <w:iCs/>
          <w:color w:val="0A0A0A"/>
          <w:kern w:val="0"/>
          <w:sz w:val="24"/>
          <w:szCs w:val="24"/>
        </w:rPr>
        <w:t>2 hour</w:t>
      </w:r>
      <w:proofErr w:type="gramEnd"/>
      <w:r w:rsidRPr="004C6E78">
        <w:rPr>
          <w:rFonts w:ascii="Palatino Linotype" w:eastAsia="굴림" w:hAnsi="Palatino Linotype" w:cs="Times New Roman"/>
          <w:i/>
          <w:iCs/>
          <w:color w:val="0A0A0A"/>
          <w:kern w:val="0"/>
          <w:sz w:val="24"/>
          <w:szCs w:val="24"/>
        </w:rPr>
        <w:t xml:space="preserve"> reaction time. Furthermore, reactive biogenic VOCs act as a notable nighttime O</w:t>
      </w:r>
      <w:r w:rsidRPr="004C6E78">
        <w:rPr>
          <w:rFonts w:ascii="Palatino Linotype" w:eastAsia="굴림" w:hAnsi="Palatino Linotype" w:cs="Times New Roman"/>
          <w:i/>
          <w:iCs/>
          <w:color w:val="0A0A0A"/>
          <w:kern w:val="0"/>
          <w:sz w:val="24"/>
          <w:szCs w:val="24"/>
          <w:vertAlign w:val="subscript"/>
        </w:rPr>
        <w:t>3</w:t>
      </w:r>
      <w:r w:rsidRPr="004C6E78">
        <w:rPr>
          <w:rFonts w:ascii="Palatino Linotype" w:eastAsia="굴림" w:hAnsi="Palatino Linotype" w:cs="Times New Roman"/>
          <w:i/>
          <w:iCs/>
          <w:color w:val="0A0A0A"/>
          <w:kern w:val="0"/>
          <w:sz w:val="24"/>
          <w:szCs w:val="24"/>
        </w:rPr>
        <w:t xml:space="preserve"> sink under NO</w:t>
      </w:r>
      <w:r w:rsidRPr="004C6E78">
        <w:rPr>
          <w:rFonts w:ascii="Palatino Linotype" w:eastAsia="굴림" w:hAnsi="Palatino Linotype" w:cs="Times New Roman"/>
          <w:i/>
          <w:iCs/>
          <w:color w:val="0A0A0A"/>
          <w:kern w:val="0"/>
          <w:sz w:val="24"/>
          <w:szCs w:val="24"/>
          <w:vertAlign w:val="subscript"/>
        </w:rPr>
        <w:t>x</w:t>
      </w:r>
      <w:r w:rsidRPr="004C6E78">
        <w:rPr>
          <w:rFonts w:ascii="Palatino Linotype" w:eastAsia="굴림" w:hAnsi="Palatino Linotype" w:cs="Times New Roman"/>
          <w:i/>
          <w:iCs/>
          <w:color w:val="0A0A0A"/>
          <w:kern w:val="0"/>
          <w:sz w:val="24"/>
          <w:szCs w:val="24"/>
        </w:rPr>
        <w:t>-sensitive conditions.</w:t>
      </w:r>
    </w:p>
    <w:p w14:paraId="5CDA0C2B" w14:textId="77777777" w:rsidR="004C6E78" w:rsidRPr="004C6E78" w:rsidRDefault="004C6E78" w:rsidP="00D25834">
      <w:pPr>
        <w:widowControl/>
        <w:wordWrap/>
        <w:autoSpaceDE/>
        <w:autoSpaceDN/>
        <w:rPr>
          <w:rFonts w:ascii="Palatino Linotype" w:eastAsia="굴림" w:hAnsi="Palatino Linotype" w:cs="Times New Roman"/>
          <w:i/>
          <w:iCs/>
          <w:color w:val="0A0A0A"/>
          <w:kern w:val="0"/>
          <w:sz w:val="24"/>
          <w:szCs w:val="24"/>
        </w:rPr>
      </w:pPr>
    </w:p>
    <w:p w14:paraId="7BA093BE" w14:textId="264706E1"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2</w:t>
      </w:r>
      <w:r>
        <w:rPr>
          <w:rFonts w:ascii="Palatino Linotype" w:eastAsia="굴림" w:hAnsi="Palatino Linotype" w:cs="Times New Roman"/>
          <w:color w:val="0A0A0A"/>
          <w:kern w:val="0"/>
          <w:sz w:val="24"/>
          <w:szCs w:val="24"/>
        </w:rPr>
        <w:t xml:space="preserve">: </w:t>
      </w:r>
      <w:r w:rsidR="006F2007" w:rsidRPr="006F2007">
        <w:rPr>
          <w:rFonts w:ascii="Palatino Linotype" w:eastAsia="굴림" w:hAnsi="Palatino Linotype" w:cs="Times New Roman"/>
          <w:color w:val="0A0A0A"/>
          <w:kern w:val="0"/>
          <w:sz w:val="24"/>
          <w:szCs w:val="24"/>
        </w:rPr>
        <w:t xml:space="preserve">61: Applied, not proposed, as you’re citing applications here rather than the first papers to propose new methods (with the exception of Cooper 2017, though if you’re referring to FDMB not IFDMB, I believe the correct citation would be </w:t>
      </w:r>
      <w:proofErr w:type="spellStart"/>
      <w:r w:rsidR="006F2007" w:rsidRPr="006F2007">
        <w:rPr>
          <w:rFonts w:ascii="Palatino Linotype" w:eastAsia="굴림" w:hAnsi="Palatino Linotype" w:cs="Times New Roman"/>
          <w:color w:val="0A0A0A"/>
          <w:kern w:val="0"/>
          <w:sz w:val="24"/>
          <w:szCs w:val="24"/>
        </w:rPr>
        <w:t>Lamsal</w:t>
      </w:r>
      <w:proofErr w:type="spellEnd"/>
      <w:r w:rsidR="006F2007" w:rsidRPr="006F2007">
        <w:rPr>
          <w:rFonts w:ascii="Palatino Linotype" w:eastAsia="굴림" w:hAnsi="Palatino Linotype" w:cs="Times New Roman"/>
          <w:color w:val="0A0A0A"/>
          <w:kern w:val="0"/>
          <w:sz w:val="24"/>
          <w:szCs w:val="24"/>
        </w:rPr>
        <w:t xml:space="preserve"> 2011?).</w:t>
      </w:r>
    </w:p>
    <w:p w14:paraId="5A50E758" w14:textId="19D8A5F0" w:rsidR="00D25834" w:rsidRDefault="00997029" w:rsidP="00D25834">
      <w:pPr>
        <w:widowControl/>
        <w:wordWrap/>
        <w:autoSpaceDE/>
        <w:autoSpaceDN/>
        <w:rPr>
          <w:rFonts w:ascii="Palatino Linotype" w:eastAsia="굴림" w:hAnsi="Palatino Linotype" w:cs="Times New Roman"/>
          <w:b/>
          <w:bCs/>
          <w:color w:val="0A0A0A"/>
          <w:kern w:val="0"/>
          <w:sz w:val="24"/>
          <w:szCs w:val="24"/>
        </w:rPr>
      </w:pPr>
      <w:r w:rsidRPr="006F32B1">
        <w:rPr>
          <w:rFonts w:ascii="Palatino Linotype" w:hAnsi="Palatino Linotype" w:cs="Times New Roman"/>
          <w:b/>
          <w:bCs/>
          <w:color w:val="FF0000"/>
          <w:sz w:val="24"/>
          <w:szCs w:val="28"/>
          <w:shd w:val="clear" w:color="auto" w:fill="FFFFFF"/>
        </w:rPr>
        <w:t>Response</w:t>
      </w:r>
      <w:r w:rsidRPr="00997029">
        <w:rPr>
          <w:rFonts w:ascii="Palatino Linotype" w:hAnsi="Palatino Linotype" w:cs="Times New Roman"/>
          <w:b/>
          <w:bCs/>
          <w:sz w:val="24"/>
          <w:szCs w:val="28"/>
          <w:shd w:val="clear" w:color="auto" w:fill="FFFFFF"/>
        </w:rPr>
        <w:t>:</w:t>
      </w:r>
      <w:r w:rsidRPr="00997029">
        <w:rPr>
          <w:b/>
          <w:bCs/>
        </w:rPr>
        <w:t xml:space="preserve"> </w:t>
      </w:r>
      <w:r w:rsidRPr="00997029">
        <w:rPr>
          <w:rFonts w:ascii="Palatino Linotype" w:eastAsia="굴림" w:hAnsi="Palatino Linotype" w:cs="Times New Roman"/>
          <w:b/>
          <w:bCs/>
          <w:color w:val="0A0A0A"/>
          <w:kern w:val="0"/>
          <w:sz w:val="24"/>
          <w:szCs w:val="24"/>
        </w:rPr>
        <w:t xml:space="preserve">We have changed the word "proposed" to "applied" to accurately reflect the cited literature. Furthermore, we have included the citation for </w:t>
      </w:r>
      <w:proofErr w:type="spellStart"/>
      <w:r w:rsidRPr="00997029">
        <w:rPr>
          <w:rFonts w:ascii="Palatino Linotype" w:eastAsia="굴림" w:hAnsi="Palatino Linotype" w:cs="Times New Roman"/>
          <w:b/>
          <w:bCs/>
          <w:color w:val="0A0A0A"/>
          <w:kern w:val="0"/>
          <w:sz w:val="24"/>
          <w:szCs w:val="24"/>
        </w:rPr>
        <w:t>Lamsal</w:t>
      </w:r>
      <w:proofErr w:type="spellEnd"/>
      <w:r w:rsidRPr="00997029">
        <w:rPr>
          <w:rFonts w:ascii="Palatino Linotype" w:eastAsia="굴림" w:hAnsi="Palatino Linotype" w:cs="Times New Roman"/>
          <w:b/>
          <w:bCs/>
          <w:color w:val="0A0A0A"/>
          <w:kern w:val="0"/>
          <w:sz w:val="24"/>
          <w:szCs w:val="24"/>
        </w:rPr>
        <w:t xml:space="preserve"> et al. (2011) as the foundational reference for the FDMB method.</w:t>
      </w:r>
    </w:p>
    <w:p w14:paraId="526C5DF0" w14:textId="1818F180" w:rsidR="00B177D4" w:rsidRPr="00B177D4" w:rsidRDefault="00B177D4" w:rsidP="00B177D4">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Section 1 </w:t>
      </w:r>
      <w:r w:rsidRPr="00964E09">
        <w:rPr>
          <w:rFonts w:ascii="Palatino Linotype" w:hAnsi="Palatino Linotype" w:cs="Times New Roman"/>
          <w:i/>
          <w:color w:val="0A0A0A"/>
          <w:sz w:val="24"/>
          <w:szCs w:val="24"/>
          <w:shd w:val="clear" w:color="auto" w:fill="FEFEFE"/>
        </w:rPr>
        <w:t>in the revised manuscript&gt;</w:t>
      </w:r>
    </w:p>
    <w:p w14:paraId="50DA9B83" w14:textId="275B4FDB" w:rsidR="00997029" w:rsidRPr="0090026E" w:rsidRDefault="0090026E" w:rsidP="00D25834">
      <w:pPr>
        <w:widowControl/>
        <w:wordWrap/>
        <w:autoSpaceDE/>
        <w:autoSpaceDN/>
        <w:rPr>
          <w:rFonts w:ascii="Palatino Linotype" w:eastAsia="굴림" w:hAnsi="Palatino Linotype" w:cs="Times New Roman"/>
          <w:i/>
          <w:iCs/>
          <w:color w:val="0A0A0A"/>
          <w:kern w:val="0"/>
          <w:sz w:val="24"/>
          <w:szCs w:val="24"/>
        </w:rPr>
      </w:pPr>
      <w:r w:rsidRPr="0090026E">
        <w:rPr>
          <w:rFonts w:ascii="Palatino Linotype" w:eastAsia="굴림" w:hAnsi="Palatino Linotype" w:cs="Times New Roman"/>
          <w:i/>
          <w:iCs/>
          <w:color w:val="0A0A0A"/>
          <w:kern w:val="0"/>
          <w:sz w:val="24"/>
          <w:szCs w:val="24"/>
        </w:rPr>
        <w:t>Various inverse modeling techniques have been applied, including mass balance (</w:t>
      </w:r>
      <w:proofErr w:type="spellStart"/>
      <w:r w:rsidRPr="0090026E">
        <w:rPr>
          <w:rFonts w:ascii="Palatino Linotype" w:eastAsia="굴림" w:hAnsi="Palatino Linotype" w:cs="Times New Roman"/>
          <w:i/>
          <w:iCs/>
          <w:color w:val="0A0A0A"/>
          <w:kern w:val="0"/>
          <w:sz w:val="24"/>
          <w:szCs w:val="24"/>
        </w:rPr>
        <w:t>Lamsal</w:t>
      </w:r>
      <w:proofErr w:type="spellEnd"/>
      <w:r w:rsidRPr="0090026E">
        <w:rPr>
          <w:rFonts w:ascii="Palatino Linotype" w:eastAsia="굴림" w:hAnsi="Palatino Linotype" w:cs="Times New Roman"/>
          <w:i/>
          <w:iCs/>
          <w:color w:val="0A0A0A"/>
          <w:kern w:val="0"/>
          <w:sz w:val="24"/>
          <w:szCs w:val="24"/>
        </w:rPr>
        <w:t xml:space="preserve"> et al., 2011; Cooper et al., 2017; Li et al., 2019; Qu et al., 2019; </w:t>
      </w:r>
      <w:proofErr w:type="spellStart"/>
      <w:r w:rsidRPr="0090026E">
        <w:rPr>
          <w:rFonts w:ascii="Palatino Linotype" w:eastAsia="굴림" w:hAnsi="Palatino Linotype" w:cs="Times New Roman"/>
          <w:i/>
          <w:iCs/>
          <w:color w:val="0A0A0A"/>
          <w:kern w:val="0"/>
          <w:sz w:val="24"/>
          <w:szCs w:val="24"/>
        </w:rPr>
        <w:t>Momeni</w:t>
      </w:r>
      <w:proofErr w:type="spellEnd"/>
      <w:r w:rsidRPr="0090026E">
        <w:rPr>
          <w:rFonts w:ascii="Palatino Linotype" w:eastAsia="굴림" w:hAnsi="Palatino Linotype" w:cs="Times New Roman"/>
          <w:i/>
          <w:iCs/>
          <w:color w:val="0A0A0A"/>
          <w:kern w:val="0"/>
          <w:sz w:val="24"/>
          <w:szCs w:val="24"/>
        </w:rPr>
        <w:t xml:space="preserve"> et al., 2024)</w:t>
      </w:r>
      <w:r w:rsidR="00B177D4">
        <w:rPr>
          <w:rFonts w:ascii="Palatino Linotype" w:eastAsia="굴림" w:hAnsi="Palatino Linotype" w:cs="Times New Roman"/>
          <w:i/>
          <w:iCs/>
          <w:color w:val="0A0A0A"/>
          <w:kern w:val="0"/>
          <w:sz w:val="24"/>
          <w:szCs w:val="24"/>
        </w:rPr>
        <w:t xml:space="preserve"> …</w:t>
      </w:r>
    </w:p>
    <w:p w14:paraId="4E3024C5" w14:textId="0EDDEE29" w:rsidR="00A24519" w:rsidRDefault="00A24519">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4E4C77C4" w14:textId="0D195C21" w:rsid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3</w:t>
      </w:r>
      <w:r>
        <w:rPr>
          <w:rFonts w:ascii="Palatino Linotype" w:eastAsia="굴림" w:hAnsi="Palatino Linotype" w:cs="Times New Roman"/>
          <w:color w:val="0A0A0A"/>
          <w:kern w:val="0"/>
          <w:sz w:val="24"/>
          <w:szCs w:val="24"/>
        </w:rPr>
        <w:t xml:space="preserve">: </w:t>
      </w:r>
      <w:r w:rsidR="006F2007" w:rsidRPr="006F2007">
        <w:rPr>
          <w:rFonts w:ascii="Palatino Linotype" w:eastAsia="굴림" w:hAnsi="Palatino Linotype" w:cs="Times New Roman"/>
          <w:color w:val="0A0A0A"/>
          <w:kern w:val="0"/>
          <w:sz w:val="24"/>
          <w:szCs w:val="24"/>
        </w:rPr>
        <w:t xml:space="preserve">72: To my knowledge the first study to combine 4D-Var and mass balance in a hybrid fashion was: Qu, Z., D. K. </w:t>
      </w:r>
      <w:proofErr w:type="spellStart"/>
      <w:r w:rsidR="006F2007" w:rsidRPr="006F2007">
        <w:rPr>
          <w:rFonts w:ascii="Palatino Linotype" w:eastAsia="굴림" w:hAnsi="Palatino Linotype" w:cs="Times New Roman"/>
          <w:color w:val="0A0A0A"/>
          <w:kern w:val="0"/>
          <w:sz w:val="24"/>
          <w:szCs w:val="24"/>
        </w:rPr>
        <w:t>Henze</w:t>
      </w:r>
      <w:proofErr w:type="spellEnd"/>
      <w:r w:rsidR="006F2007" w:rsidRPr="006F2007">
        <w:rPr>
          <w:rFonts w:ascii="Palatino Linotype" w:eastAsia="굴림" w:hAnsi="Palatino Linotype" w:cs="Times New Roman"/>
          <w:color w:val="0A0A0A"/>
          <w:kern w:val="0"/>
          <w:sz w:val="24"/>
          <w:szCs w:val="24"/>
        </w:rPr>
        <w:t xml:space="preserve">, N. </w:t>
      </w:r>
      <w:proofErr w:type="spellStart"/>
      <w:r w:rsidR="006F2007" w:rsidRPr="006F2007">
        <w:rPr>
          <w:rFonts w:ascii="Palatino Linotype" w:eastAsia="굴림" w:hAnsi="Palatino Linotype" w:cs="Times New Roman"/>
          <w:color w:val="0A0A0A"/>
          <w:kern w:val="0"/>
          <w:sz w:val="24"/>
          <w:szCs w:val="24"/>
        </w:rPr>
        <w:t>Theys</w:t>
      </w:r>
      <w:proofErr w:type="spellEnd"/>
      <w:r w:rsidR="006F2007" w:rsidRPr="006F2007">
        <w:rPr>
          <w:rFonts w:ascii="Palatino Linotype" w:eastAsia="굴림" w:hAnsi="Palatino Linotype" w:cs="Times New Roman"/>
          <w:color w:val="0A0A0A"/>
          <w:kern w:val="0"/>
          <w:sz w:val="24"/>
          <w:szCs w:val="24"/>
        </w:rPr>
        <w:t>, J. Wang, W. Wang, Hybrid mass balance / 4D-Var joint inversion of NO</w:t>
      </w:r>
      <w:r w:rsidR="006F2007" w:rsidRPr="00FF7652">
        <w:rPr>
          <w:rFonts w:ascii="Palatino Linotype" w:eastAsia="굴림" w:hAnsi="Palatino Linotype" w:cs="Times New Roman"/>
          <w:color w:val="0A0A0A"/>
          <w:kern w:val="0"/>
          <w:sz w:val="24"/>
          <w:szCs w:val="24"/>
          <w:vertAlign w:val="subscript"/>
        </w:rPr>
        <w:t>x</w:t>
      </w:r>
      <w:r w:rsidR="006F2007" w:rsidRPr="006F2007">
        <w:rPr>
          <w:rFonts w:ascii="Palatino Linotype" w:eastAsia="굴림" w:hAnsi="Palatino Linotype" w:cs="Times New Roman"/>
          <w:color w:val="0A0A0A"/>
          <w:kern w:val="0"/>
          <w:sz w:val="24"/>
          <w:szCs w:val="24"/>
        </w:rPr>
        <w:t xml:space="preserve"> and SO</w:t>
      </w:r>
      <w:r w:rsidR="006F2007" w:rsidRPr="00FF7652">
        <w:rPr>
          <w:rFonts w:ascii="Palatino Linotype" w:eastAsia="굴림" w:hAnsi="Palatino Linotype" w:cs="Times New Roman"/>
          <w:color w:val="0A0A0A"/>
          <w:kern w:val="0"/>
          <w:sz w:val="24"/>
          <w:szCs w:val="24"/>
          <w:vertAlign w:val="subscript"/>
        </w:rPr>
        <w:t>2</w:t>
      </w:r>
      <w:r w:rsidR="006F2007" w:rsidRPr="006F2007">
        <w:rPr>
          <w:rFonts w:ascii="Palatino Linotype" w:eastAsia="굴림" w:hAnsi="Palatino Linotype" w:cs="Times New Roman"/>
          <w:color w:val="0A0A0A"/>
          <w:kern w:val="0"/>
          <w:sz w:val="24"/>
          <w:szCs w:val="24"/>
        </w:rPr>
        <w:t xml:space="preserve"> emissions in East Asia, J. </w:t>
      </w:r>
      <w:proofErr w:type="spellStart"/>
      <w:r w:rsidR="006F2007" w:rsidRPr="006F2007">
        <w:rPr>
          <w:rFonts w:ascii="Palatino Linotype" w:eastAsia="굴림" w:hAnsi="Palatino Linotype" w:cs="Times New Roman"/>
          <w:color w:val="0A0A0A"/>
          <w:kern w:val="0"/>
          <w:sz w:val="24"/>
          <w:szCs w:val="24"/>
        </w:rPr>
        <w:t>Geophys</w:t>
      </w:r>
      <w:proofErr w:type="spellEnd"/>
      <w:r w:rsidR="006F2007" w:rsidRPr="006F2007">
        <w:rPr>
          <w:rFonts w:ascii="Palatino Linotype" w:eastAsia="굴림" w:hAnsi="Palatino Linotype" w:cs="Times New Roman"/>
          <w:color w:val="0A0A0A"/>
          <w:kern w:val="0"/>
          <w:sz w:val="24"/>
          <w:szCs w:val="24"/>
        </w:rPr>
        <w:t>. Res., 124, 8203</w:t>
      </w:r>
      <w:r w:rsidR="006F2007" w:rsidRPr="006F2007">
        <w:rPr>
          <w:rFonts w:ascii="Palatino Linotype" w:eastAsia="굴림" w:hAnsi="Palatino Linotype" w:cs="Times New Roman" w:hint="eastAsia"/>
          <w:color w:val="0A0A0A"/>
          <w:kern w:val="0"/>
          <w:sz w:val="24"/>
          <w:szCs w:val="24"/>
        </w:rPr>
        <w:t>–</w:t>
      </w:r>
      <w:r w:rsidR="006F2007" w:rsidRPr="006F2007">
        <w:rPr>
          <w:rFonts w:ascii="Palatino Linotype" w:eastAsia="굴림" w:hAnsi="Palatino Linotype" w:cs="Times New Roman"/>
          <w:color w:val="0A0A0A"/>
          <w:kern w:val="0"/>
          <w:sz w:val="24"/>
          <w:szCs w:val="24"/>
        </w:rPr>
        <w:t xml:space="preserve">8224, </w:t>
      </w:r>
      <w:r w:rsidR="006F2007" w:rsidRPr="007B484B">
        <w:rPr>
          <w:rFonts w:ascii="Palatino Linotype" w:eastAsia="굴림" w:hAnsi="Palatino Linotype" w:cs="Times New Roman"/>
          <w:kern w:val="0"/>
          <w:sz w:val="24"/>
          <w:szCs w:val="24"/>
        </w:rPr>
        <w:t>https://doi.org/10.1029/2018JD030240</w:t>
      </w:r>
      <w:r w:rsidR="006F2007" w:rsidRPr="006F2007">
        <w:rPr>
          <w:rFonts w:ascii="Palatino Linotype" w:eastAsia="굴림" w:hAnsi="Palatino Linotype" w:cs="Times New Roman"/>
          <w:color w:val="0A0A0A"/>
          <w:kern w:val="0"/>
          <w:sz w:val="24"/>
          <w:szCs w:val="24"/>
        </w:rPr>
        <w:t>.</w:t>
      </w:r>
    </w:p>
    <w:p w14:paraId="6429A91A" w14:textId="79ADE982" w:rsidR="00CF5722" w:rsidRDefault="00CF5722" w:rsidP="00CF5722">
      <w:pPr>
        <w:widowControl/>
        <w:wordWrap/>
        <w:autoSpaceDE/>
        <w:autoSpaceDN/>
        <w:rPr>
          <w:rFonts w:ascii="Palatino Linotype" w:eastAsia="굴림" w:hAnsi="Palatino Linotype" w:cs="Times New Roman"/>
          <w:b/>
          <w:bCs/>
          <w:color w:val="0A0A0A"/>
          <w:kern w:val="0"/>
          <w:sz w:val="24"/>
          <w:szCs w:val="24"/>
        </w:rPr>
      </w:pPr>
      <w:r w:rsidRPr="006F32B1">
        <w:rPr>
          <w:rFonts w:ascii="Palatino Linotype" w:hAnsi="Palatino Linotype" w:cs="Times New Roman"/>
          <w:b/>
          <w:bCs/>
          <w:color w:val="FF0000"/>
          <w:sz w:val="24"/>
          <w:szCs w:val="28"/>
          <w:shd w:val="clear" w:color="auto" w:fill="FFFFFF"/>
        </w:rPr>
        <w:t>Response</w:t>
      </w:r>
      <w:r w:rsidRPr="00997029">
        <w:rPr>
          <w:rFonts w:ascii="Palatino Linotype" w:hAnsi="Palatino Linotype" w:cs="Times New Roman"/>
          <w:b/>
          <w:bCs/>
          <w:sz w:val="24"/>
          <w:szCs w:val="28"/>
          <w:shd w:val="clear" w:color="auto" w:fill="FFFFFF"/>
        </w:rPr>
        <w:t>:</w:t>
      </w:r>
      <w:r w:rsidRPr="00997029">
        <w:rPr>
          <w:b/>
          <w:bCs/>
        </w:rPr>
        <w:t xml:space="preserve"> </w:t>
      </w:r>
      <w:r w:rsidR="00296D0C" w:rsidRPr="00296D0C">
        <w:rPr>
          <w:rFonts w:ascii="Palatino Linotype" w:eastAsia="굴림" w:hAnsi="Palatino Linotype" w:cs="Times New Roman"/>
          <w:b/>
          <w:bCs/>
          <w:color w:val="0A0A0A"/>
          <w:kern w:val="0"/>
          <w:sz w:val="24"/>
          <w:szCs w:val="24"/>
        </w:rPr>
        <w:t>To properly acknowledge their pioneering work in combining the mass balance and 4D-Var methods, we have added the citations for both Qu et al. (2017) and Qu et al. (2019).</w:t>
      </w:r>
    </w:p>
    <w:p w14:paraId="05FE36DF" w14:textId="5B7B2E09" w:rsidR="00F43D6D" w:rsidRPr="00F43D6D" w:rsidRDefault="00F43D6D" w:rsidP="00F43D6D">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Section 1 </w:t>
      </w:r>
      <w:r w:rsidRPr="00964E09">
        <w:rPr>
          <w:rFonts w:ascii="Palatino Linotype" w:hAnsi="Palatino Linotype" w:cs="Times New Roman"/>
          <w:i/>
          <w:color w:val="0A0A0A"/>
          <w:sz w:val="24"/>
          <w:szCs w:val="24"/>
          <w:shd w:val="clear" w:color="auto" w:fill="FEFEFE"/>
        </w:rPr>
        <w:t>in the revised manuscript&gt;</w:t>
      </w:r>
    </w:p>
    <w:p w14:paraId="5CAD680C" w14:textId="58D888A0" w:rsidR="006F2007" w:rsidRDefault="000657E6" w:rsidP="00D25834">
      <w:pPr>
        <w:widowControl/>
        <w:wordWrap/>
        <w:autoSpaceDE/>
        <w:autoSpaceDN/>
        <w:rPr>
          <w:rFonts w:ascii="Palatino Linotype" w:eastAsia="굴림" w:hAnsi="Palatino Linotype" w:cs="Times New Roman"/>
          <w:i/>
          <w:iCs/>
          <w:color w:val="0A0A0A"/>
          <w:kern w:val="0"/>
          <w:sz w:val="24"/>
          <w:szCs w:val="24"/>
        </w:rPr>
      </w:pPr>
      <w:r w:rsidRPr="000657E6">
        <w:rPr>
          <w:rFonts w:ascii="Palatino Linotype" w:eastAsia="굴림" w:hAnsi="Palatino Linotype" w:cs="Times New Roman"/>
          <w:i/>
          <w:iCs/>
          <w:color w:val="0A0A0A"/>
          <w:kern w:val="0"/>
          <w:sz w:val="24"/>
          <w:szCs w:val="24"/>
        </w:rPr>
        <w:t>To leverage the strengths of both approaches, a hybrid inverse modeling framework combining the mass balance and the 4D-Var has been recently applied (Qu et al., 2017, 2019; Chen et al., 2021; Choi et al., 2022; Moon et al., 2024).</w:t>
      </w:r>
    </w:p>
    <w:p w14:paraId="615C4CD4" w14:textId="653261A3" w:rsidR="00EA4273" w:rsidRPr="00EA4273" w:rsidRDefault="00EA4273" w:rsidP="00EA4273">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Reference</w:t>
      </w:r>
      <w:r w:rsidR="00F43D6D">
        <w:rPr>
          <w:rFonts w:ascii="Palatino Linotype" w:hAnsi="Palatino Linotype" w:cs="Times New Roman"/>
          <w:i/>
          <w:color w:val="0A0A0A"/>
          <w:sz w:val="24"/>
          <w:szCs w:val="24"/>
          <w:shd w:val="clear" w:color="auto" w:fill="FEFEFE"/>
        </w:rPr>
        <w:t>s</w:t>
      </w:r>
      <w:r>
        <w:rPr>
          <w:rFonts w:ascii="Palatino Linotype" w:hAnsi="Palatino Linotype" w:cs="Times New Roman"/>
          <w:i/>
          <w:color w:val="0A0A0A"/>
          <w:sz w:val="24"/>
          <w:szCs w:val="24"/>
          <w:shd w:val="clear" w:color="auto" w:fill="FEFEFE"/>
        </w:rPr>
        <w:t xml:space="preserve"> </w:t>
      </w:r>
      <w:r w:rsidRPr="00964E09">
        <w:rPr>
          <w:rFonts w:ascii="Palatino Linotype" w:hAnsi="Palatino Linotype" w:cs="Times New Roman"/>
          <w:i/>
          <w:color w:val="0A0A0A"/>
          <w:sz w:val="24"/>
          <w:szCs w:val="24"/>
          <w:shd w:val="clear" w:color="auto" w:fill="FEFEFE"/>
        </w:rPr>
        <w:t>in the revised manuscript&gt;</w:t>
      </w:r>
    </w:p>
    <w:p w14:paraId="779C3EAB" w14:textId="179E76A5" w:rsidR="000657E6" w:rsidRPr="00AD705F" w:rsidRDefault="00AD705F" w:rsidP="00D25834">
      <w:pPr>
        <w:widowControl/>
        <w:wordWrap/>
        <w:autoSpaceDE/>
        <w:autoSpaceDN/>
        <w:rPr>
          <w:rFonts w:ascii="Palatino Linotype" w:hAnsi="Palatino Linotype"/>
          <w:i/>
          <w:iCs/>
          <w:sz w:val="24"/>
          <w:szCs w:val="28"/>
        </w:rPr>
      </w:pPr>
      <w:r w:rsidRPr="00AD705F">
        <w:rPr>
          <w:rFonts w:ascii="Palatino Linotype" w:hAnsi="Palatino Linotype"/>
          <w:i/>
          <w:iCs/>
          <w:sz w:val="24"/>
          <w:szCs w:val="28"/>
        </w:rPr>
        <w:t xml:space="preserve">Qu, Z., </w:t>
      </w:r>
      <w:proofErr w:type="spellStart"/>
      <w:r w:rsidRPr="00AD705F">
        <w:rPr>
          <w:rFonts w:ascii="Palatino Linotype" w:hAnsi="Palatino Linotype"/>
          <w:i/>
          <w:iCs/>
          <w:sz w:val="24"/>
          <w:szCs w:val="28"/>
        </w:rPr>
        <w:t>Henze</w:t>
      </w:r>
      <w:proofErr w:type="spellEnd"/>
      <w:r w:rsidRPr="00AD705F">
        <w:rPr>
          <w:rFonts w:ascii="Palatino Linotype" w:hAnsi="Palatino Linotype"/>
          <w:i/>
          <w:iCs/>
          <w:sz w:val="24"/>
          <w:szCs w:val="28"/>
        </w:rPr>
        <w:t>, D. K., Capps, S. L., Wang, Y., Xu, X., Wang, J., and Keller, M.: Monthly top-down NO</w:t>
      </w:r>
      <w:r w:rsidRPr="00AD705F">
        <w:rPr>
          <w:rFonts w:ascii="Palatino Linotype" w:hAnsi="Palatino Linotype"/>
          <w:i/>
          <w:iCs/>
          <w:sz w:val="24"/>
          <w:szCs w:val="28"/>
          <w:vertAlign w:val="subscript"/>
        </w:rPr>
        <w:t>x</w:t>
      </w:r>
      <w:r w:rsidRPr="00AD705F">
        <w:rPr>
          <w:rFonts w:ascii="Palatino Linotype" w:hAnsi="Palatino Linotype"/>
          <w:i/>
          <w:iCs/>
          <w:sz w:val="24"/>
          <w:szCs w:val="28"/>
        </w:rPr>
        <w:t xml:space="preserve"> emissions for China (2005–2012): A hybrid inversion method and trend analysis, J. </w:t>
      </w:r>
      <w:proofErr w:type="spellStart"/>
      <w:r w:rsidRPr="00AD705F">
        <w:rPr>
          <w:rFonts w:ascii="Palatino Linotype" w:hAnsi="Palatino Linotype"/>
          <w:i/>
          <w:iCs/>
          <w:sz w:val="24"/>
          <w:szCs w:val="28"/>
        </w:rPr>
        <w:t>Geophys</w:t>
      </w:r>
      <w:proofErr w:type="spellEnd"/>
      <w:r w:rsidRPr="00AD705F">
        <w:rPr>
          <w:rFonts w:ascii="Palatino Linotype" w:hAnsi="Palatino Linotype"/>
          <w:i/>
          <w:iCs/>
          <w:sz w:val="24"/>
          <w:szCs w:val="28"/>
        </w:rPr>
        <w:t>. Res. Atmos., 122, 4600–4625, https://doi.org/10.1002/2016JD025852, 2017.</w:t>
      </w:r>
    </w:p>
    <w:p w14:paraId="0F507CA3" w14:textId="17ED7B7F" w:rsidR="00A24519" w:rsidRDefault="00A24519">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669B83ED" w14:textId="21EDD926"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4</w:t>
      </w:r>
      <w:r>
        <w:rPr>
          <w:rFonts w:ascii="Palatino Linotype" w:eastAsia="굴림" w:hAnsi="Palatino Linotype" w:cs="Times New Roman"/>
          <w:color w:val="0A0A0A"/>
          <w:kern w:val="0"/>
          <w:sz w:val="24"/>
          <w:szCs w:val="24"/>
        </w:rPr>
        <w:t xml:space="preserve">: </w:t>
      </w:r>
      <w:r w:rsidR="006F2007" w:rsidRPr="006F2007">
        <w:rPr>
          <w:rFonts w:ascii="Palatino Linotype" w:eastAsia="굴림" w:hAnsi="Palatino Linotype" w:cs="Times New Roman"/>
          <w:color w:val="0A0A0A"/>
          <w:kern w:val="0"/>
          <w:sz w:val="24"/>
          <w:szCs w:val="24"/>
        </w:rPr>
        <w:t>73: The word “Nevertheless” doesn’t really fit here, as the preceding text wasn’t related to the topic of spatial vs temporal emissions adjustments.  Also, I’m not sure I believe the “most studies” here — did the authors really do an exhaustive review of all top-down emissions studies? I can think of large numbers that constrain hourly, daily, weekly, or monthly emissions, in applications spanning from NO</w:t>
      </w:r>
      <w:r w:rsidR="006F2007" w:rsidRPr="00B26A46">
        <w:rPr>
          <w:rFonts w:ascii="Palatino Linotype" w:eastAsia="굴림" w:hAnsi="Palatino Linotype" w:cs="Times New Roman"/>
          <w:color w:val="0A0A0A"/>
          <w:kern w:val="0"/>
          <w:sz w:val="24"/>
          <w:szCs w:val="24"/>
          <w:vertAlign w:val="subscript"/>
        </w:rPr>
        <w:t>x</w:t>
      </w:r>
      <w:r w:rsidR="006F2007" w:rsidRPr="006F2007">
        <w:rPr>
          <w:rFonts w:ascii="Palatino Linotype" w:eastAsia="굴림" w:hAnsi="Palatino Linotype" w:cs="Times New Roman"/>
          <w:color w:val="0A0A0A"/>
          <w:kern w:val="0"/>
          <w:sz w:val="24"/>
          <w:szCs w:val="24"/>
        </w:rPr>
        <w:t xml:space="preserve"> to CO</w:t>
      </w:r>
      <w:r w:rsidR="006F2007" w:rsidRPr="00454B07">
        <w:rPr>
          <w:rFonts w:ascii="Palatino Linotype" w:eastAsia="굴림" w:hAnsi="Palatino Linotype" w:cs="Times New Roman"/>
          <w:color w:val="0A0A0A"/>
          <w:kern w:val="0"/>
          <w:sz w:val="24"/>
          <w:szCs w:val="24"/>
          <w:vertAlign w:val="subscript"/>
        </w:rPr>
        <w:t>2</w:t>
      </w:r>
      <w:r w:rsidR="006F2007" w:rsidRPr="006F2007">
        <w:rPr>
          <w:rFonts w:ascii="Palatino Linotype" w:eastAsia="굴림" w:hAnsi="Palatino Linotype" w:cs="Times New Roman"/>
          <w:color w:val="0A0A0A"/>
          <w:kern w:val="0"/>
          <w:sz w:val="24"/>
          <w:szCs w:val="24"/>
        </w:rPr>
        <w:t>. So perhaps overall this sentence / topic just needs to be revised.</w:t>
      </w:r>
    </w:p>
    <w:p w14:paraId="7721003F" w14:textId="5EDC8FBF" w:rsidR="00D25834" w:rsidRDefault="008861E0" w:rsidP="00D25834">
      <w:pPr>
        <w:widowControl/>
        <w:wordWrap/>
        <w:autoSpaceDE/>
        <w:autoSpaceDN/>
        <w:rPr>
          <w:rFonts w:ascii="Palatino Linotype" w:eastAsia="굴림" w:hAnsi="Palatino Linotype" w:cs="Times New Roman"/>
          <w:b/>
          <w:bCs/>
          <w:color w:val="0A0A0A"/>
          <w:kern w:val="0"/>
          <w:sz w:val="24"/>
          <w:szCs w:val="24"/>
        </w:rPr>
      </w:pPr>
      <w:r w:rsidRPr="006F32B1">
        <w:rPr>
          <w:rFonts w:ascii="Palatino Linotype" w:hAnsi="Palatino Linotype" w:cs="Times New Roman"/>
          <w:b/>
          <w:bCs/>
          <w:color w:val="FF0000"/>
          <w:sz w:val="24"/>
          <w:szCs w:val="28"/>
          <w:shd w:val="clear" w:color="auto" w:fill="FFFFFF"/>
        </w:rPr>
        <w:t>Response</w:t>
      </w:r>
      <w:r w:rsidRPr="00997029">
        <w:rPr>
          <w:rFonts w:ascii="Palatino Linotype" w:hAnsi="Palatino Linotype" w:cs="Times New Roman"/>
          <w:b/>
          <w:bCs/>
          <w:sz w:val="24"/>
          <w:szCs w:val="28"/>
          <w:shd w:val="clear" w:color="auto" w:fill="FFFFFF"/>
        </w:rPr>
        <w:t>:</w:t>
      </w:r>
      <w:r w:rsidRPr="00997029">
        <w:rPr>
          <w:b/>
          <w:bCs/>
        </w:rPr>
        <w:t xml:space="preserve"> </w:t>
      </w:r>
      <w:r w:rsidR="00C63610" w:rsidRPr="00C63610">
        <w:rPr>
          <w:rFonts w:ascii="Palatino Linotype" w:eastAsia="굴림" w:hAnsi="Palatino Linotype" w:cs="Times New Roman"/>
          <w:b/>
          <w:bCs/>
          <w:color w:val="0A0A0A"/>
          <w:kern w:val="0"/>
          <w:sz w:val="24"/>
          <w:szCs w:val="24"/>
        </w:rPr>
        <w:t>The transition word "Nevertheless" and the phrase "most studies" have been removed to avoid overgeneralization. The paragraph has been rewritten to focus strictly on the scientific necessity of optimizing hourly variations and precursor interactions specifically for short-lived, chemically reactive species like O</w:t>
      </w:r>
      <w:r w:rsidR="00C63610" w:rsidRPr="00C63610">
        <w:rPr>
          <w:rFonts w:ascii="Palatino Linotype" w:eastAsia="굴림" w:hAnsi="Palatino Linotype" w:cs="Times New Roman"/>
          <w:b/>
          <w:bCs/>
          <w:color w:val="0A0A0A"/>
          <w:kern w:val="0"/>
          <w:sz w:val="24"/>
          <w:szCs w:val="24"/>
          <w:vertAlign w:val="subscript"/>
        </w:rPr>
        <w:t>3</w:t>
      </w:r>
      <w:r w:rsidR="00C63610" w:rsidRPr="00C63610">
        <w:rPr>
          <w:rFonts w:ascii="Palatino Linotype" w:eastAsia="굴림" w:hAnsi="Palatino Linotype" w:cs="Times New Roman"/>
          <w:b/>
          <w:bCs/>
          <w:color w:val="0A0A0A"/>
          <w:kern w:val="0"/>
          <w:sz w:val="24"/>
          <w:szCs w:val="24"/>
        </w:rPr>
        <w:t>.</w:t>
      </w:r>
    </w:p>
    <w:p w14:paraId="5351B2DA" w14:textId="76B9649E" w:rsidR="009F5C68" w:rsidRPr="00A3477C" w:rsidRDefault="00A3477C" w:rsidP="00A3477C">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Section 1 </w:t>
      </w:r>
      <w:r w:rsidRPr="00964E09">
        <w:rPr>
          <w:rFonts w:ascii="Palatino Linotype" w:hAnsi="Palatino Linotype" w:cs="Times New Roman"/>
          <w:i/>
          <w:color w:val="0A0A0A"/>
          <w:sz w:val="24"/>
          <w:szCs w:val="24"/>
          <w:shd w:val="clear" w:color="auto" w:fill="FEFEFE"/>
        </w:rPr>
        <w:t>in the revised manuscript&gt;</w:t>
      </w:r>
    </w:p>
    <w:p w14:paraId="74158315" w14:textId="64BB3175" w:rsidR="00932740" w:rsidRPr="00106D8E" w:rsidRDefault="00106D8E" w:rsidP="00D25834">
      <w:pPr>
        <w:widowControl/>
        <w:wordWrap/>
        <w:autoSpaceDE/>
        <w:autoSpaceDN/>
        <w:rPr>
          <w:rFonts w:ascii="Palatino Linotype" w:eastAsia="굴림" w:hAnsi="Palatino Linotype" w:cs="Times New Roman"/>
          <w:i/>
          <w:iCs/>
          <w:color w:val="0A0A0A"/>
          <w:kern w:val="0"/>
          <w:sz w:val="24"/>
          <w:szCs w:val="24"/>
        </w:rPr>
      </w:pPr>
      <w:r w:rsidRPr="00106D8E">
        <w:rPr>
          <w:rFonts w:ascii="Palatino Linotype" w:eastAsia="굴림" w:hAnsi="Palatino Linotype" w:cs="Times New Roman"/>
          <w:i/>
          <w:iCs/>
          <w:color w:val="0A0A0A"/>
          <w:kern w:val="0"/>
          <w:sz w:val="24"/>
          <w:szCs w:val="24"/>
        </w:rPr>
        <w:t>Accurately reproducing O</w:t>
      </w:r>
      <w:r w:rsidRPr="00106D8E">
        <w:rPr>
          <w:rFonts w:ascii="Palatino Linotype" w:eastAsia="굴림" w:hAnsi="Palatino Linotype" w:cs="Times New Roman"/>
          <w:i/>
          <w:iCs/>
          <w:color w:val="0A0A0A"/>
          <w:kern w:val="0"/>
          <w:sz w:val="24"/>
          <w:szCs w:val="24"/>
          <w:vertAlign w:val="subscript"/>
        </w:rPr>
        <w:t>3</w:t>
      </w:r>
      <w:r w:rsidRPr="00106D8E">
        <w:rPr>
          <w:rFonts w:ascii="Palatino Linotype" w:eastAsia="굴림" w:hAnsi="Palatino Linotype" w:cs="Times New Roman"/>
          <w:i/>
          <w:iCs/>
          <w:color w:val="0A0A0A"/>
          <w:kern w:val="0"/>
          <w:sz w:val="24"/>
          <w:szCs w:val="24"/>
        </w:rPr>
        <w:t xml:space="preserve"> concentrations remains a critical challenge due to its short-lived and chemically reactive nature. Because diurnal variations in precursor emissions strongly influence O</w:t>
      </w:r>
      <w:r w:rsidRPr="00106D8E">
        <w:rPr>
          <w:rFonts w:ascii="Palatino Linotype" w:eastAsia="굴림" w:hAnsi="Palatino Linotype" w:cs="Times New Roman"/>
          <w:i/>
          <w:iCs/>
          <w:color w:val="0A0A0A"/>
          <w:kern w:val="0"/>
          <w:sz w:val="24"/>
          <w:szCs w:val="24"/>
          <w:vertAlign w:val="subscript"/>
        </w:rPr>
        <w:t>3</w:t>
      </w:r>
      <w:r w:rsidRPr="00106D8E">
        <w:rPr>
          <w:rFonts w:ascii="Palatino Linotype" w:eastAsia="굴림" w:hAnsi="Palatino Linotype" w:cs="Times New Roman"/>
          <w:i/>
          <w:iCs/>
          <w:color w:val="0A0A0A"/>
          <w:kern w:val="0"/>
          <w:sz w:val="24"/>
          <w:szCs w:val="24"/>
        </w:rPr>
        <w:t xml:space="preserve"> formation through nonlinear photochemical processes (Wang et al., 2018), it is essential to simultaneously capture the hourly evolution of emissions and constrain the relative contributions of both NO</w:t>
      </w:r>
      <w:r w:rsidRPr="00106D8E">
        <w:rPr>
          <w:rFonts w:ascii="Palatino Linotype" w:eastAsia="굴림" w:hAnsi="Palatino Linotype" w:cs="Times New Roman"/>
          <w:i/>
          <w:iCs/>
          <w:color w:val="0A0A0A"/>
          <w:kern w:val="0"/>
          <w:sz w:val="24"/>
          <w:szCs w:val="24"/>
          <w:vertAlign w:val="subscript"/>
        </w:rPr>
        <w:t>x</w:t>
      </w:r>
      <w:r w:rsidRPr="00106D8E">
        <w:rPr>
          <w:rFonts w:ascii="Palatino Linotype" w:eastAsia="굴림" w:hAnsi="Palatino Linotype" w:cs="Times New Roman"/>
          <w:i/>
          <w:iCs/>
          <w:color w:val="0A0A0A"/>
          <w:kern w:val="0"/>
          <w:sz w:val="24"/>
          <w:szCs w:val="24"/>
        </w:rPr>
        <w:t xml:space="preserve"> and VOCs. Therefore, a comprehensive inverse modeling framework capable of simultaneously optimizing the spatiotemporal distribution of both precursor emissions is required.</w:t>
      </w:r>
    </w:p>
    <w:p w14:paraId="47375153" w14:textId="75D0A60C" w:rsidR="00A24519" w:rsidRDefault="00A24519">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48137955" w14:textId="02618061"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5</w:t>
      </w:r>
      <w:r>
        <w:rPr>
          <w:rFonts w:ascii="Palatino Linotype" w:eastAsia="굴림" w:hAnsi="Palatino Linotype" w:cs="Times New Roman"/>
          <w:color w:val="0A0A0A"/>
          <w:kern w:val="0"/>
          <w:sz w:val="24"/>
          <w:szCs w:val="24"/>
        </w:rPr>
        <w:t xml:space="preserve">: </w:t>
      </w:r>
      <w:r w:rsidR="006F2007" w:rsidRPr="006F2007">
        <w:rPr>
          <w:rFonts w:ascii="Palatino Linotype" w:eastAsia="굴림" w:hAnsi="Palatino Linotype" w:cs="Times New Roman"/>
          <w:color w:val="0A0A0A"/>
          <w:kern w:val="0"/>
          <w:sz w:val="24"/>
          <w:szCs w:val="24"/>
        </w:rPr>
        <w:t>190: I don’t see how there’s anything intrinsic to FDMB that prevents it from being applied separately to emissions at different times.  Emissions in different grid cells in space are already treated separately; it would be trivial to extend to emissions at different times.</w:t>
      </w:r>
    </w:p>
    <w:p w14:paraId="44AA8CC2" w14:textId="1D31569C" w:rsidR="00AC4389" w:rsidRDefault="00AC4389" w:rsidP="00AC4389">
      <w:pPr>
        <w:widowControl/>
        <w:wordWrap/>
        <w:autoSpaceDE/>
        <w:autoSpaceDN/>
        <w:rPr>
          <w:rFonts w:ascii="Palatino Linotype" w:eastAsia="굴림" w:hAnsi="Palatino Linotype" w:cs="Times New Roman"/>
          <w:b/>
          <w:bCs/>
          <w:color w:val="0A0A0A"/>
          <w:kern w:val="0"/>
          <w:sz w:val="24"/>
          <w:szCs w:val="24"/>
        </w:rPr>
      </w:pPr>
      <w:r w:rsidRPr="006F32B1">
        <w:rPr>
          <w:rFonts w:ascii="Palatino Linotype" w:hAnsi="Palatino Linotype" w:cs="Times New Roman"/>
          <w:b/>
          <w:bCs/>
          <w:color w:val="FF0000"/>
          <w:sz w:val="24"/>
          <w:szCs w:val="28"/>
          <w:shd w:val="clear" w:color="auto" w:fill="FFFFFF"/>
        </w:rPr>
        <w:t>Response</w:t>
      </w:r>
      <w:r w:rsidRPr="00997029">
        <w:rPr>
          <w:rFonts w:ascii="Palatino Linotype" w:hAnsi="Palatino Linotype" w:cs="Times New Roman"/>
          <w:b/>
          <w:bCs/>
          <w:sz w:val="24"/>
          <w:szCs w:val="28"/>
          <w:shd w:val="clear" w:color="auto" w:fill="FFFFFF"/>
        </w:rPr>
        <w:t>:</w:t>
      </w:r>
      <w:r w:rsidRPr="00997029">
        <w:rPr>
          <w:b/>
          <w:bCs/>
        </w:rPr>
        <w:t xml:space="preserve"> </w:t>
      </w:r>
      <w:r w:rsidR="00253A81" w:rsidRPr="00253A81">
        <w:rPr>
          <w:rFonts w:ascii="Palatino Linotype" w:eastAsia="굴림" w:hAnsi="Palatino Linotype" w:cs="Times New Roman"/>
          <w:b/>
          <w:bCs/>
          <w:color w:val="0A0A0A"/>
          <w:kern w:val="0"/>
          <w:sz w:val="24"/>
          <w:szCs w:val="24"/>
        </w:rPr>
        <w:t>We agree that the FDMB method can theoretically be applied to separate time windows. However, because polar-orbiting satellites like TROPOMI provide only a single daily overpass (around 13:30 local time), the temporal resolution is insufficient to independently resolve hourly emissions using FDMB alone. Furthermore, following previous mass balance studies (</w:t>
      </w:r>
      <w:proofErr w:type="spellStart"/>
      <w:r w:rsidR="00253A81" w:rsidRPr="00253A81">
        <w:rPr>
          <w:rFonts w:ascii="Palatino Linotype" w:eastAsia="굴림" w:hAnsi="Palatino Linotype" w:cs="Times New Roman"/>
          <w:b/>
          <w:bCs/>
          <w:color w:val="0A0A0A"/>
          <w:kern w:val="0"/>
          <w:sz w:val="24"/>
          <w:szCs w:val="24"/>
        </w:rPr>
        <w:t>Lamsal</w:t>
      </w:r>
      <w:proofErr w:type="spellEnd"/>
      <w:r w:rsidR="00253A81" w:rsidRPr="00253A81">
        <w:rPr>
          <w:rFonts w:ascii="Palatino Linotype" w:eastAsia="굴림" w:hAnsi="Palatino Linotype" w:cs="Times New Roman"/>
          <w:b/>
          <w:bCs/>
          <w:color w:val="0A0A0A"/>
          <w:kern w:val="0"/>
          <w:sz w:val="24"/>
          <w:szCs w:val="24"/>
        </w:rPr>
        <w:t xml:space="preserve"> et al., 2011; </w:t>
      </w:r>
      <w:r w:rsidR="00253A81">
        <w:rPr>
          <w:rFonts w:ascii="Palatino Linotype" w:eastAsia="굴림" w:hAnsi="Palatino Linotype" w:cs="Times New Roman"/>
          <w:b/>
          <w:bCs/>
          <w:color w:val="0A0A0A"/>
          <w:kern w:val="0"/>
          <w:sz w:val="24"/>
          <w:szCs w:val="24"/>
        </w:rPr>
        <w:t xml:space="preserve">Chen et al., 2021; </w:t>
      </w:r>
      <w:r w:rsidR="00253A81" w:rsidRPr="00253A81">
        <w:rPr>
          <w:rFonts w:ascii="Palatino Linotype" w:eastAsia="굴림" w:hAnsi="Palatino Linotype" w:cs="Times New Roman"/>
          <w:b/>
          <w:bCs/>
          <w:color w:val="0A0A0A"/>
          <w:kern w:val="0"/>
          <w:sz w:val="24"/>
          <w:szCs w:val="24"/>
        </w:rPr>
        <w:t>Mun et al., 2023), we utilized column data averaged over the study period to minimize transport-induced smearing errors. Therefore, we delegated the hourly diurnal optimization to the subsequent 4D-Var step.</w:t>
      </w:r>
    </w:p>
    <w:p w14:paraId="1A20F2EF" w14:textId="1F2548AB" w:rsidR="00A3477C" w:rsidRPr="00A3477C" w:rsidRDefault="00A3477C" w:rsidP="00A3477C">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Section </w:t>
      </w:r>
      <w:r w:rsidR="00484C46">
        <w:rPr>
          <w:rFonts w:ascii="Palatino Linotype" w:hAnsi="Palatino Linotype" w:cs="Times New Roman"/>
          <w:i/>
          <w:color w:val="0A0A0A"/>
          <w:sz w:val="24"/>
          <w:szCs w:val="24"/>
          <w:shd w:val="clear" w:color="auto" w:fill="FEFEFE"/>
        </w:rPr>
        <w:t>2.3.1</w:t>
      </w:r>
      <w:r>
        <w:rPr>
          <w:rFonts w:ascii="Palatino Linotype" w:hAnsi="Palatino Linotype" w:cs="Times New Roman"/>
          <w:i/>
          <w:color w:val="0A0A0A"/>
          <w:sz w:val="24"/>
          <w:szCs w:val="24"/>
          <w:shd w:val="clear" w:color="auto" w:fill="FEFEFE"/>
        </w:rPr>
        <w:t xml:space="preserve"> </w:t>
      </w:r>
      <w:r w:rsidRPr="00964E09">
        <w:rPr>
          <w:rFonts w:ascii="Palatino Linotype" w:hAnsi="Palatino Linotype" w:cs="Times New Roman"/>
          <w:i/>
          <w:color w:val="0A0A0A"/>
          <w:sz w:val="24"/>
          <w:szCs w:val="24"/>
          <w:shd w:val="clear" w:color="auto" w:fill="FEFEFE"/>
        </w:rPr>
        <w:t>in the revised manuscript&gt;</w:t>
      </w:r>
    </w:p>
    <w:p w14:paraId="2E2282E1" w14:textId="4FE0E76D" w:rsidR="00D25834" w:rsidRPr="00AE3888" w:rsidRDefault="00AE3888" w:rsidP="00D25834">
      <w:pPr>
        <w:widowControl/>
        <w:wordWrap/>
        <w:autoSpaceDE/>
        <w:autoSpaceDN/>
        <w:rPr>
          <w:rFonts w:ascii="Palatino Linotype" w:eastAsia="굴림" w:hAnsi="Palatino Linotype" w:cs="Times New Roman"/>
          <w:i/>
          <w:iCs/>
          <w:color w:val="0A0A0A"/>
          <w:kern w:val="0"/>
          <w:sz w:val="24"/>
          <w:szCs w:val="24"/>
        </w:rPr>
      </w:pPr>
      <w:r w:rsidRPr="00AE3888">
        <w:rPr>
          <w:rFonts w:ascii="Palatino Linotype" w:eastAsia="굴림" w:hAnsi="Palatino Linotype" w:cs="Times New Roman"/>
          <w:i/>
          <w:iCs/>
          <w:color w:val="0A0A0A"/>
          <w:kern w:val="0"/>
          <w:sz w:val="24"/>
          <w:szCs w:val="24"/>
        </w:rPr>
        <w:t>While the FDMB method can theoretically be extended to separate time windows, the once-daily overpass of TROPOMI inherently limits its capacity to independently resolve diurnal temporal variability. Furthermore, to minimize transport-induced smearing errors, we utilized column data averaged over the study period following previous methodologies (</w:t>
      </w:r>
      <w:proofErr w:type="spellStart"/>
      <w:r w:rsidRPr="00AE3888">
        <w:rPr>
          <w:rFonts w:ascii="Palatino Linotype" w:eastAsia="굴림" w:hAnsi="Palatino Linotype" w:cs="Times New Roman"/>
          <w:i/>
          <w:iCs/>
          <w:color w:val="0A0A0A"/>
          <w:kern w:val="0"/>
          <w:sz w:val="24"/>
          <w:szCs w:val="24"/>
        </w:rPr>
        <w:t>Lamsal</w:t>
      </w:r>
      <w:proofErr w:type="spellEnd"/>
      <w:r w:rsidRPr="00AE3888">
        <w:rPr>
          <w:rFonts w:ascii="Palatino Linotype" w:eastAsia="굴림" w:hAnsi="Palatino Linotype" w:cs="Times New Roman"/>
          <w:i/>
          <w:iCs/>
          <w:color w:val="0A0A0A"/>
          <w:kern w:val="0"/>
          <w:sz w:val="24"/>
          <w:szCs w:val="24"/>
        </w:rPr>
        <w:t xml:space="preserve"> et al., 2011; Chen et al., 2021; Mun et al., 2023). Therefore, the FDMB step is used strictly to establish a robust spatial baseline, while hourly variations are optimized in the subsequent 4D-Var inversion.</w:t>
      </w:r>
    </w:p>
    <w:p w14:paraId="218A72D1" w14:textId="49635E1A" w:rsidR="00A24519" w:rsidRDefault="00A24519">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7D03B2C6" w14:textId="3035B0A6"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6</w:t>
      </w:r>
      <w:r>
        <w:rPr>
          <w:rFonts w:ascii="Palatino Linotype" w:eastAsia="굴림" w:hAnsi="Palatino Linotype" w:cs="Times New Roman"/>
          <w:color w:val="0A0A0A"/>
          <w:kern w:val="0"/>
          <w:sz w:val="24"/>
          <w:szCs w:val="24"/>
        </w:rPr>
        <w:t xml:space="preserve">: </w:t>
      </w:r>
      <w:r w:rsidR="004F3AD4" w:rsidRPr="004F3AD4">
        <w:rPr>
          <w:rFonts w:ascii="Palatino Linotype" w:eastAsia="굴림" w:hAnsi="Palatino Linotype" w:cs="Times New Roman"/>
          <w:color w:val="0A0A0A"/>
          <w:kern w:val="0"/>
          <w:sz w:val="24"/>
          <w:szCs w:val="24"/>
        </w:rPr>
        <w:t>197: Given Eq 8, B is the error covariance of the emission scaling factor, not the emissions.</w:t>
      </w:r>
    </w:p>
    <w:p w14:paraId="11EE493F" w14:textId="295D0236" w:rsidR="00D25834" w:rsidRDefault="00EF52A9" w:rsidP="00D25834">
      <w:pPr>
        <w:widowControl/>
        <w:wordWrap/>
        <w:autoSpaceDE/>
        <w:autoSpaceDN/>
        <w:rPr>
          <w:rFonts w:ascii="Palatino Linotype" w:eastAsia="굴림" w:hAnsi="Palatino Linotype" w:cs="Times New Roman"/>
          <w:b/>
          <w:bCs/>
          <w:color w:val="0A0A0A"/>
          <w:kern w:val="0"/>
          <w:sz w:val="24"/>
          <w:szCs w:val="24"/>
        </w:rPr>
      </w:pPr>
      <w:r w:rsidRPr="006F32B1">
        <w:rPr>
          <w:rFonts w:ascii="Palatino Linotype" w:hAnsi="Palatino Linotype" w:cs="Times New Roman"/>
          <w:b/>
          <w:bCs/>
          <w:color w:val="FF0000"/>
          <w:sz w:val="24"/>
          <w:szCs w:val="28"/>
          <w:shd w:val="clear" w:color="auto" w:fill="FFFFFF"/>
        </w:rPr>
        <w:t>Response</w:t>
      </w:r>
      <w:r w:rsidRPr="00997029">
        <w:rPr>
          <w:rFonts w:ascii="Palatino Linotype" w:hAnsi="Palatino Linotype" w:cs="Times New Roman"/>
          <w:b/>
          <w:bCs/>
          <w:sz w:val="24"/>
          <w:szCs w:val="28"/>
          <w:shd w:val="clear" w:color="auto" w:fill="FFFFFF"/>
        </w:rPr>
        <w:t>:</w:t>
      </w:r>
      <w:r w:rsidRPr="00997029">
        <w:rPr>
          <w:b/>
          <w:bCs/>
        </w:rPr>
        <w:t xml:space="preserve"> </w:t>
      </w:r>
      <w:r w:rsidRPr="00EF52A9">
        <w:rPr>
          <w:rFonts w:ascii="Palatino Linotype" w:eastAsia="굴림" w:hAnsi="Palatino Linotype" w:cs="Times New Roman"/>
          <w:b/>
          <w:bCs/>
          <w:color w:val="0A0A0A"/>
          <w:kern w:val="0"/>
          <w:sz w:val="24"/>
          <w:szCs w:val="24"/>
        </w:rPr>
        <w:t xml:space="preserve">We have revised the text to clarify that </w:t>
      </w:r>
      <w:r>
        <w:rPr>
          <w:rFonts w:ascii="Palatino Linotype" w:eastAsia="굴림" w:hAnsi="Palatino Linotype" w:cs="Times New Roman"/>
          <w:b/>
          <w:bCs/>
          <w:color w:val="0A0A0A"/>
          <w:kern w:val="0"/>
          <w:sz w:val="24"/>
          <w:szCs w:val="24"/>
        </w:rPr>
        <w:t xml:space="preserve">B </w:t>
      </w:r>
      <w:r w:rsidRPr="00EF52A9">
        <w:rPr>
          <w:rFonts w:ascii="Palatino Linotype" w:eastAsia="굴림" w:hAnsi="Palatino Linotype" w:cs="Times New Roman"/>
          <w:b/>
          <w:bCs/>
          <w:color w:val="0A0A0A"/>
          <w:kern w:val="0"/>
          <w:sz w:val="24"/>
          <w:szCs w:val="24"/>
        </w:rPr>
        <w:t>represents the error covariance matrix of the emission scaling factors rather than the absolute emissions.</w:t>
      </w:r>
    </w:p>
    <w:p w14:paraId="5F6CD919" w14:textId="74A53157" w:rsidR="00484C46" w:rsidRPr="00484C46" w:rsidRDefault="00484C46" w:rsidP="00484C46">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Section 2.3.2 </w:t>
      </w:r>
      <w:r w:rsidRPr="00964E09">
        <w:rPr>
          <w:rFonts w:ascii="Palatino Linotype" w:hAnsi="Palatino Linotype" w:cs="Times New Roman"/>
          <w:i/>
          <w:color w:val="0A0A0A"/>
          <w:sz w:val="24"/>
          <w:szCs w:val="24"/>
          <w:shd w:val="clear" w:color="auto" w:fill="FEFEFE"/>
        </w:rPr>
        <w:t>in the revised manuscript&gt;</w:t>
      </w:r>
    </w:p>
    <w:p w14:paraId="1FB33AE3" w14:textId="74619A64" w:rsidR="00EF52A9" w:rsidRPr="0025040E" w:rsidRDefault="00A36627" w:rsidP="00D25834">
      <w:pPr>
        <w:widowControl/>
        <w:wordWrap/>
        <w:autoSpaceDE/>
        <w:autoSpaceDN/>
        <w:rPr>
          <w:rFonts w:ascii="Palatino Linotype" w:eastAsia="굴림" w:hAnsi="Palatino Linotype" w:cs="Times New Roman"/>
          <w:b/>
          <w:bCs/>
          <w:i/>
          <w:iCs/>
          <w:color w:val="0A0A0A"/>
          <w:kern w:val="0"/>
          <w:sz w:val="32"/>
          <w:szCs w:val="32"/>
        </w:rPr>
      </w:pPr>
      <m:oMath>
        <m:sSub>
          <m:sSubPr>
            <m:ctrlPr>
              <w:rPr>
                <w:rFonts w:ascii="Cambria Math" w:hAnsi="Cambria Math"/>
                <w:i/>
                <w:iCs/>
                <w:sz w:val="24"/>
                <w:szCs w:val="24"/>
              </w:rPr>
            </m:ctrlPr>
          </m:sSubPr>
          <m:e>
            <m:r>
              <w:rPr>
                <w:rFonts w:ascii="Cambria Math" w:hAnsi="Cambria Math"/>
                <w:sz w:val="24"/>
                <w:szCs w:val="24"/>
              </w:rPr>
              <m:t>B</m:t>
            </m:r>
          </m:e>
          <m:sub>
            <m:r>
              <w:rPr>
                <w:rFonts w:ascii="Cambria Math" w:hAnsi="Cambria Math"/>
                <w:sz w:val="24"/>
                <w:szCs w:val="24"/>
              </w:rPr>
              <m:t>i</m:t>
            </m:r>
          </m:sub>
        </m:sSub>
      </m:oMath>
      <w:r w:rsidR="0025040E" w:rsidRPr="0025040E">
        <w:rPr>
          <w:rFonts w:ascii="Palatino Linotype" w:hAnsi="Palatino Linotype"/>
          <w:i/>
          <w:iCs/>
          <w:sz w:val="24"/>
          <w:szCs w:val="24"/>
        </w:rPr>
        <w:t xml:space="preserve"> and </w:t>
      </w:r>
      <m:oMath>
        <m:sSub>
          <m:sSubPr>
            <m:ctrlPr>
              <w:rPr>
                <w:rFonts w:ascii="Cambria Math" w:hAnsi="Cambria Math"/>
                <w:i/>
                <w:iCs/>
                <w:sz w:val="24"/>
                <w:szCs w:val="24"/>
              </w:rPr>
            </m:ctrlPr>
          </m:sSubPr>
          <m:e>
            <m:r>
              <w:rPr>
                <w:rFonts w:ascii="Cambria Math" w:hAnsi="Cambria Math"/>
                <w:sz w:val="24"/>
                <w:szCs w:val="24"/>
              </w:rPr>
              <m:t>R</m:t>
            </m:r>
          </m:e>
          <m:sub>
            <m:r>
              <w:rPr>
                <w:rFonts w:ascii="Cambria Math" w:hAnsi="Cambria Math"/>
                <w:sz w:val="24"/>
                <w:szCs w:val="24"/>
              </w:rPr>
              <m:t>i</m:t>
            </m:r>
          </m:sub>
        </m:sSub>
      </m:oMath>
      <w:r w:rsidR="0025040E" w:rsidRPr="0025040E">
        <w:rPr>
          <w:rFonts w:ascii="Palatino Linotype" w:hAnsi="Palatino Linotype"/>
          <w:i/>
          <w:iCs/>
          <w:sz w:val="24"/>
          <w:szCs w:val="24"/>
        </w:rPr>
        <w:t xml:space="preserve"> are the error covariance matrices for </w:t>
      </w:r>
      <w:r w:rsidR="0025040E" w:rsidRPr="0025040E">
        <w:rPr>
          <w:rFonts w:ascii="Palatino Linotype" w:hAnsi="Palatino Linotype"/>
          <w:i/>
          <w:iCs/>
          <w:sz w:val="24"/>
          <w:szCs w:val="28"/>
        </w:rPr>
        <w:t xml:space="preserve">emission scaling factors </w:t>
      </w:r>
      <w:r w:rsidR="0025040E" w:rsidRPr="0025040E">
        <w:rPr>
          <w:rFonts w:ascii="Palatino Linotype" w:hAnsi="Palatino Linotype"/>
          <w:i/>
          <w:iCs/>
          <w:sz w:val="24"/>
          <w:szCs w:val="24"/>
        </w:rPr>
        <w:t>and observations, respectively.</w:t>
      </w:r>
    </w:p>
    <w:p w14:paraId="69112F5D" w14:textId="77777777" w:rsidR="00EF52A9" w:rsidRPr="00EF52A9" w:rsidRDefault="00EF52A9" w:rsidP="00D25834">
      <w:pPr>
        <w:widowControl/>
        <w:wordWrap/>
        <w:autoSpaceDE/>
        <w:autoSpaceDN/>
        <w:rPr>
          <w:rFonts w:ascii="Palatino Linotype" w:eastAsia="굴림" w:hAnsi="Palatino Linotype" w:cs="Times New Roman"/>
          <w:b/>
          <w:bCs/>
          <w:color w:val="0A0A0A"/>
          <w:kern w:val="0"/>
          <w:sz w:val="24"/>
          <w:szCs w:val="24"/>
        </w:rPr>
      </w:pPr>
    </w:p>
    <w:p w14:paraId="7D7CBE57" w14:textId="015AA7C7"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7</w:t>
      </w:r>
      <w:r>
        <w:rPr>
          <w:rFonts w:ascii="Palatino Linotype" w:eastAsia="굴림" w:hAnsi="Palatino Linotype" w:cs="Times New Roman"/>
          <w:color w:val="0A0A0A"/>
          <w:kern w:val="0"/>
          <w:sz w:val="24"/>
          <w:szCs w:val="24"/>
        </w:rPr>
        <w:t xml:space="preserve">: </w:t>
      </w:r>
      <w:r w:rsidR="004F3AD4" w:rsidRPr="004F3AD4">
        <w:rPr>
          <w:rFonts w:ascii="Palatino Linotype" w:eastAsia="굴림" w:hAnsi="Palatino Linotype" w:cs="Times New Roman"/>
          <w:color w:val="0A0A0A"/>
          <w:kern w:val="0"/>
          <w:sz w:val="24"/>
          <w:szCs w:val="24"/>
        </w:rPr>
        <w:t>198: How is the 100% emission error translated into a value within B, which is the error covariance for the emissions scaling factor? Is a doubling of emissions (alpha = 2) penalized equivalently to a zeroing out of the emissions (alpha = 0) or halving (alpha = 0.5)?</w:t>
      </w:r>
    </w:p>
    <w:p w14:paraId="359F023F" w14:textId="5012DEDB" w:rsidR="00D25834" w:rsidRDefault="00512256" w:rsidP="00D25834">
      <w:pPr>
        <w:widowControl/>
        <w:wordWrap/>
        <w:autoSpaceDE/>
        <w:autoSpaceDN/>
        <w:rPr>
          <w:rFonts w:ascii="Palatino Linotype" w:eastAsia="굴림" w:hAnsi="Palatino Linotype" w:cs="Times New Roman"/>
          <w:b/>
          <w:bCs/>
          <w:color w:val="0A0A0A"/>
          <w:kern w:val="0"/>
          <w:sz w:val="24"/>
          <w:szCs w:val="24"/>
        </w:rPr>
      </w:pPr>
      <w:r w:rsidRPr="0099212A">
        <w:rPr>
          <w:rFonts w:ascii="Palatino Linotype" w:hAnsi="Palatino Linotype" w:cs="Times New Roman"/>
          <w:b/>
          <w:bCs/>
          <w:color w:val="FF0000"/>
          <w:sz w:val="24"/>
          <w:szCs w:val="28"/>
          <w:shd w:val="clear" w:color="auto" w:fill="FFFFFF"/>
        </w:rPr>
        <w:t>Response</w:t>
      </w:r>
      <w:r w:rsidRPr="0099212A">
        <w:rPr>
          <w:rFonts w:ascii="Palatino Linotype" w:hAnsi="Palatino Linotype" w:cs="Times New Roman"/>
          <w:b/>
          <w:bCs/>
          <w:sz w:val="24"/>
          <w:szCs w:val="28"/>
          <w:shd w:val="clear" w:color="auto" w:fill="FFFFFF"/>
        </w:rPr>
        <w:t>:</w:t>
      </w:r>
      <w:r w:rsidRPr="0099212A">
        <w:rPr>
          <w:b/>
          <w:bCs/>
        </w:rPr>
        <w:t xml:space="preserve"> </w:t>
      </w:r>
      <w:r w:rsidRPr="0099212A">
        <w:rPr>
          <w:rFonts w:ascii="Palatino Linotype" w:eastAsia="굴림" w:hAnsi="Palatino Linotype" w:cs="Times New Roman"/>
          <w:b/>
          <w:bCs/>
          <w:color w:val="0A0A0A"/>
          <w:kern w:val="0"/>
          <w:sz w:val="24"/>
          <w:szCs w:val="24"/>
        </w:rPr>
        <w:t xml:space="preserve">A 100% prior emission error corresponds to assuming a standard deviation of 1.0 for the prior emission scaling factors </w:t>
      </w:r>
      <w:r w:rsidR="001D53FF" w:rsidRPr="0099212A">
        <w:rPr>
          <w:rFonts w:ascii="Palatino Linotype" w:eastAsia="굴림" w:hAnsi="Palatino Linotype" w:cs="Times New Roman"/>
          <w:b/>
          <w:bCs/>
          <w:color w:val="0A0A0A"/>
          <w:kern w:val="0"/>
          <w:sz w:val="24"/>
          <w:szCs w:val="24"/>
        </w:rPr>
        <w:t>(</w:t>
      </w:r>
      <m:oMath>
        <m:sSub>
          <m:sSubPr>
            <m:ctrlPr>
              <w:rPr>
                <w:rFonts w:ascii="Cambria Math" w:hAnsi="Cambria Math"/>
                <w:b/>
                <w:bCs/>
                <w:sz w:val="24"/>
                <w:szCs w:val="24"/>
              </w:rPr>
            </m:ctrlPr>
          </m:sSubPr>
          <m:e>
            <m:r>
              <m:rPr>
                <m:sty m:val="bi"/>
              </m:rPr>
              <w:rPr>
                <w:rFonts w:ascii="Cambria Math" w:hAnsi="Cambria Math"/>
                <w:sz w:val="24"/>
                <w:szCs w:val="24"/>
              </w:rPr>
              <m:t>α</m:t>
            </m:r>
          </m:e>
          <m:sub>
            <m:r>
              <m:rPr>
                <m:sty m:val="bi"/>
              </m:rPr>
              <w:rPr>
                <w:rFonts w:ascii="Cambria Math" w:eastAsia="맑은 고딕" w:hAnsi="Cambria Math" w:cs="맑은 고딕"/>
                <w:sz w:val="24"/>
                <w:szCs w:val="24"/>
              </w:rPr>
              <m:t>b</m:t>
            </m:r>
          </m:sub>
        </m:sSub>
        <m:r>
          <m:rPr>
            <m:sty m:val="bi"/>
          </m:rPr>
          <w:rPr>
            <w:rFonts w:ascii="Cambria Math" w:hAnsi="Cambria Math"/>
            <w:sz w:val="24"/>
            <w:szCs w:val="24"/>
          </w:rPr>
          <m:t>=1</m:t>
        </m:r>
      </m:oMath>
      <w:r w:rsidRPr="0099212A">
        <w:rPr>
          <w:rFonts w:ascii="Palatino Linotype" w:eastAsia="굴림" w:hAnsi="Palatino Linotype" w:cs="Times New Roman"/>
          <w:b/>
          <w:bCs/>
          <w:color w:val="0A0A0A"/>
          <w:kern w:val="0"/>
          <w:sz w:val="24"/>
          <w:szCs w:val="24"/>
        </w:rPr>
        <w:t xml:space="preserve">), which sets the diagonal elements of B to 1.0. Under this Gaussian error assumption, the background penalty is evaluated symmetrically as </w:t>
      </w:r>
      <m:oMath>
        <m:sSup>
          <m:sSupPr>
            <m:ctrlPr>
              <w:rPr>
                <w:rFonts w:ascii="Cambria Math" w:eastAsia="굴림" w:hAnsi="Cambria Math" w:cs="Times New Roman"/>
                <w:b/>
                <w:bCs/>
                <w:i/>
                <w:sz w:val="24"/>
                <w:szCs w:val="24"/>
              </w:rPr>
            </m:ctrlPr>
          </m:sSupPr>
          <m:e>
            <m:r>
              <m:rPr>
                <m:sty m:val="bi"/>
              </m:rPr>
              <w:rPr>
                <w:rFonts w:ascii="Cambria Math" w:eastAsia="굴림" w:hAnsi="Cambria Math" w:cs="Times New Roman"/>
                <w:sz w:val="24"/>
                <w:szCs w:val="24"/>
              </w:rPr>
              <m:t>(</m:t>
            </m:r>
            <m:sSub>
              <m:sSubPr>
                <m:ctrlPr>
                  <w:rPr>
                    <w:rFonts w:ascii="Cambria Math" w:hAnsi="Cambria Math"/>
                    <w:b/>
                    <w:bCs/>
                    <w:sz w:val="24"/>
                    <w:szCs w:val="24"/>
                  </w:rPr>
                </m:ctrlPr>
              </m:sSubPr>
              <m:e>
                <m:r>
                  <m:rPr>
                    <m:sty m:val="bi"/>
                  </m:rPr>
                  <w:rPr>
                    <w:rFonts w:ascii="Cambria Math" w:hAnsi="Cambria Math"/>
                    <w:sz w:val="24"/>
                    <w:szCs w:val="24"/>
                  </w:rPr>
                  <m:t>α</m:t>
                </m:r>
              </m:e>
              <m:sub>
                <m:r>
                  <m:rPr>
                    <m:sty m:val="bi"/>
                  </m:rPr>
                  <w:rPr>
                    <w:rFonts w:ascii="Cambria Math" w:hAnsi="Cambria Math"/>
                    <w:sz w:val="24"/>
                    <w:szCs w:val="24"/>
                  </w:rPr>
                  <m:t>i</m:t>
                </m:r>
              </m:sub>
            </m:sSub>
            <m:r>
              <m:rPr>
                <m:sty m:val="bi"/>
              </m:rPr>
              <w:rPr>
                <w:rFonts w:ascii="Cambria Math" w:hAnsi="Cambria Math"/>
                <w:sz w:val="24"/>
                <w:szCs w:val="24"/>
              </w:rPr>
              <m:t>=1)</m:t>
            </m:r>
          </m:e>
          <m:sup>
            <m:r>
              <m:rPr>
                <m:sty m:val="bi"/>
              </m:rPr>
              <w:rPr>
                <w:rFonts w:ascii="Cambria Math" w:eastAsia="굴림" w:hAnsi="Cambria Math" w:cs="Times New Roman"/>
                <w:sz w:val="24"/>
                <w:szCs w:val="24"/>
              </w:rPr>
              <m:t>2</m:t>
            </m:r>
          </m:sup>
        </m:sSup>
      </m:oMath>
      <w:r w:rsidRPr="0099212A">
        <w:rPr>
          <w:rFonts w:ascii="Palatino Linotype" w:eastAsia="굴림" w:hAnsi="Palatino Linotype" w:cs="Times New Roman"/>
          <w:b/>
          <w:bCs/>
          <w:color w:val="0A0A0A"/>
          <w:kern w:val="0"/>
          <w:sz w:val="24"/>
          <w:szCs w:val="24"/>
        </w:rPr>
        <w:t xml:space="preserve">. Therefore, a doubling </w:t>
      </w:r>
      <w:r w:rsidR="008645D2" w:rsidRPr="0099212A">
        <w:rPr>
          <w:rFonts w:ascii="Palatino Linotype" w:eastAsia="굴림" w:hAnsi="Palatino Linotype" w:cs="Times New Roman" w:hint="eastAsia"/>
          <w:b/>
          <w:bCs/>
          <w:color w:val="0A0A0A"/>
          <w:kern w:val="0"/>
          <w:sz w:val="24"/>
          <w:szCs w:val="24"/>
        </w:rPr>
        <w:t>(</w:t>
      </w:r>
      <m:oMath>
        <m:sSub>
          <m:sSubPr>
            <m:ctrlPr>
              <w:rPr>
                <w:rFonts w:ascii="Cambria Math" w:hAnsi="Cambria Math"/>
                <w:b/>
                <w:bCs/>
                <w:sz w:val="24"/>
                <w:szCs w:val="24"/>
              </w:rPr>
            </m:ctrlPr>
          </m:sSubPr>
          <m:e>
            <m:r>
              <m:rPr>
                <m:sty m:val="bi"/>
              </m:rPr>
              <w:rPr>
                <w:rFonts w:ascii="Cambria Math" w:hAnsi="Cambria Math"/>
                <w:sz w:val="24"/>
                <w:szCs w:val="24"/>
              </w:rPr>
              <m:t>α</m:t>
            </m:r>
          </m:e>
          <m:sub>
            <m:r>
              <m:rPr>
                <m:sty m:val="bi"/>
              </m:rPr>
              <w:rPr>
                <w:rFonts w:ascii="Cambria Math" w:hAnsi="Cambria Math"/>
                <w:sz w:val="24"/>
                <w:szCs w:val="24"/>
              </w:rPr>
              <m:t>i</m:t>
            </m:r>
          </m:sub>
        </m:sSub>
        <m:r>
          <m:rPr>
            <m:sty m:val="bi"/>
          </m:rPr>
          <w:rPr>
            <w:rFonts w:ascii="Cambria Math" w:hAnsi="Cambria Math"/>
            <w:sz w:val="24"/>
            <w:szCs w:val="24"/>
          </w:rPr>
          <m:t>=2</m:t>
        </m:r>
      </m:oMath>
      <w:r w:rsidRPr="0099212A">
        <w:rPr>
          <w:rFonts w:ascii="Palatino Linotype" w:eastAsia="굴림" w:hAnsi="Palatino Linotype" w:cs="Times New Roman"/>
          <w:b/>
          <w:bCs/>
          <w:color w:val="0A0A0A"/>
          <w:kern w:val="0"/>
          <w:sz w:val="24"/>
          <w:szCs w:val="24"/>
        </w:rPr>
        <w:t>) and a complete zeroing (</w:t>
      </w:r>
      <m:oMath>
        <m:sSub>
          <m:sSubPr>
            <m:ctrlPr>
              <w:rPr>
                <w:rFonts w:ascii="Cambria Math" w:hAnsi="Cambria Math"/>
                <w:b/>
                <w:bCs/>
                <w:sz w:val="24"/>
                <w:szCs w:val="24"/>
              </w:rPr>
            </m:ctrlPr>
          </m:sSubPr>
          <m:e>
            <m:r>
              <m:rPr>
                <m:sty m:val="bi"/>
              </m:rPr>
              <w:rPr>
                <w:rFonts w:ascii="Cambria Math" w:hAnsi="Cambria Math"/>
                <w:sz w:val="24"/>
                <w:szCs w:val="24"/>
              </w:rPr>
              <m:t>α</m:t>
            </m:r>
          </m:e>
          <m:sub>
            <m:r>
              <m:rPr>
                <m:sty m:val="bi"/>
              </m:rPr>
              <w:rPr>
                <w:rFonts w:ascii="Cambria Math" w:hAnsi="Cambria Math"/>
                <w:sz w:val="24"/>
                <w:szCs w:val="24"/>
              </w:rPr>
              <m:t>i</m:t>
            </m:r>
          </m:sub>
        </m:sSub>
        <m:r>
          <m:rPr>
            <m:sty m:val="bi"/>
          </m:rPr>
          <w:rPr>
            <w:rFonts w:ascii="Cambria Math" w:hAnsi="Cambria Math"/>
            <w:sz w:val="24"/>
            <w:szCs w:val="24"/>
          </w:rPr>
          <m:t>=0</m:t>
        </m:r>
      </m:oMath>
      <w:r w:rsidRPr="0099212A">
        <w:rPr>
          <w:rFonts w:ascii="Palatino Linotype" w:eastAsia="굴림" w:hAnsi="Palatino Linotype" w:cs="Times New Roman"/>
          <w:b/>
          <w:bCs/>
          <w:color w:val="0A0A0A"/>
          <w:kern w:val="0"/>
          <w:sz w:val="24"/>
          <w:szCs w:val="24"/>
        </w:rPr>
        <w:t>) of emissions both result in an absolute deviation of 1.0 and incur the exact same penalty in the cost function. Conversely, halving the emissions (</w:t>
      </w:r>
      <m:oMath>
        <m:sSub>
          <m:sSubPr>
            <m:ctrlPr>
              <w:rPr>
                <w:rFonts w:ascii="Cambria Math" w:hAnsi="Cambria Math"/>
                <w:b/>
                <w:bCs/>
                <w:sz w:val="24"/>
                <w:szCs w:val="24"/>
              </w:rPr>
            </m:ctrlPr>
          </m:sSubPr>
          <m:e>
            <m:r>
              <m:rPr>
                <m:sty m:val="bi"/>
              </m:rPr>
              <w:rPr>
                <w:rFonts w:ascii="Cambria Math" w:hAnsi="Cambria Math"/>
                <w:sz w:val="24"/>
                <w:szCs w:val="24"/>
              </w:rPr>
              <m:t>α</m:t>
            </m:r>
          </m:e>
          <m:sub>
            <m:r>
              <m:rPr>
                <m:sty m:val="bi"/>
              </m:rPr>
              <w:rPr>
                <w:rFonts w:ascii="Cambria Math" w:hAnsi="Cambria Math"/>
                <w:sz w:val="24"/>
                <w:szCs w:val="24"/>
              </w:rPr>
              <m:t>i</m:t>
            </m:r>
          </m:sub>
        </m:sSub>
        <m:r>
          <m:rPr>
            <m:sty m:val="bi"/>
          </m:rPr>
          <w:rPr>
            <w:rFonts w:ascii="Cambria Math" w:hAnsi="Cambria Math"/>
            <w:sz w:val="24"/>
            <w:szCs w:val="24"/>
          </w:rPr>
          <m:t>=0.5</m:t>
        </m:r>
      </m:oMath>
      <w:r w:rsidRPr="0099212A">
        <w:rPr>
          <w:rFonts w:ascii="Palatino Linotype" w:eastAsia="굴림" w:hAnsi="Palatino Linotype" w:cs="Times New Roman"/>
          <w:b/>
          <w:bCs/>
          <w:color w:val="0A0A0A"/>
          <w:kern w:val="0"/>
          <w:sz w:val="24"/>
          <w:szCs w:val="24"/>
        </w:rPr>
        <w:t>) yields a smaller deviation of 0.5 and incurs a lower penalty. We have expanded Section 2.3.2 to make this explicit.</w:t>
      </w:r>
    </w:p>
    <w:p w14:paraId="01042663" w14:textId="5033983C" w:rsidR="00484C46" w:rsidRPr="00484C46" w:rsidRDefault="00484C46" w:rsidP="00484C46">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Section 2.3.2 </w:t>
      </w:r>
      <w:r w:rsidRPr="00964E09">
        <w:rPr>
          <w:rFonts w:ascii="Palatino Linotype" w:hAnsi="Palatino Linotype" w:cs="Times New Roman"/>
          <w:i/>
          <w:color w:val="0A0A0A"/>
          <w:sz w:val="24"/>
          <w:szCs w:val="24"/>
          <w:shd w:val="clear" w:color="auto" w:fill="FEFEFE"/>
        </w:rPr>
        <w:t>in the revised manuscript&gt;</w:t>
      </w:r>
    </w:p>
    <w:p w14:paraId="082B94EB" w14:textId="5CEE2A21" w:rsidR="00512256" w:rsidRPr="006C3B1E" w:rsidRDefault="006C3B1E" w:rsidP="00D25834">
      <w:pPr>
        <w:widowControl/>
        <w:wordWrap/>
        <w:autoSpaceDE/>
        <w:autoSpaceDN/>
        <w:rPr>
          <w:rFonts w:ascii="Palatino Linotype" w:eastAsia="굴림" w:hAnsi="Palatino Linotype" w:cs="Times New Roman"/>
          <w:i/>
          <w:iCs/>
          <w:color w:val="0A0A0A"/>
          <w:kern w:val="0"/>
          <w:sz w:val="32"/>
          <w:szCs w:val="32"/>
        </w:rPr>
      </w:pPr>
      <w:r w:rsidRPr="006C3B1E">
        <w:rPr>
          <w:rFonts w:ascii="Palatino Linotype" w:hAnsi="Palatino Linotype"/>
          <w:i/>
          <w:iCs/>
          <w:sz w:val="24"/>
          <w:szCs w:val="24"/>
        </w:rPr>
        <w:t>The prior uncertainty for the emissions was set to 100 %, which corresponds to assuming a standard deviation of 1.0 for the prior emission scaling factors (</w:t>
      </w:r>
      <m:oMath>
        <m:sSub>
          <m:sSubPr>
            <m:ctrlPr>
              <w:rPr>
                <w:rFonts w:ascii="Cambria Math" w:hAnsi="Cambria Math"/>
                <w:i/>
                <w:iCs/>
                <w:sz w:val="24"/>
                <w:szCs w:val="24"/>
              </w:rPr>
            </m:ctrlPr>
          </m:sSubPr>
          <m:e>
            <m:r>
              <w:rPr>
                <w:rFonts w:ascii="Cambria Math" w:hAnsi="Cambria Math"/>
                <w:sz w:val="24"/>
                <w:szCs w:val="24"/>
              </w:rPr>
              <m:t>α</m:t>
            </m:r>
          </m:e>
          <m:sub>
            <m:r>
              <w:rPr>
                <w:rFonts w:ascii="Cambria Math" w:eastAsia="맑은 고딕" w:hAnsi="Cambria Math" w:cs="맑은 고딕"/>
                <w:sz w:val="24"/>
                <w:szCs w:val="24"/>
              </w:rPr>
              <m:t>b</m:t>
            </m:r>
          </m:sub>
        </m:sSub>
        <m:r>
          <w:rPr>
            <w:rFonts w:ascii="Cambria Math" w:hAnsi="Cambria Math"/>
            <w:sz w:val="24"/>
            <w:szCs w:val="24"/>
          </w:rPr>
          <m:t>=1</m:t>
        </m:r>
      </m:oMath>
      <w:r w:rsidRPr="006C3B1E">
        <w:rPr>
          <w:rFonts w:ascii="Palatino Linotype" w:hAnsi="Palatino Linotype"/>
          <w:i/>
          <w:iCs/>
          <w:sz w:val="24"/>
          <w:szCs w:val="24"/>
        </w:rPr>
        <w:t>). Consequently,</w:t>
      </w:r>
      <w:r w:rsidRPr="00A36627">
        <w:rPr>
          <w:rFonts w:ascii="Palatino Linotype" w:hAnsi="Palatino Linotype"/>
          <w:i/>
          <w:sz w:val="32"/>
          <w:szCs w:val="32"/>
        </w:rPr>
        <w:t xml:space="preserve"> </w:t>
      </w:r>
      <w:r w:rsidR="00A36627" w:rsidRPr="00A36627">
        <w:rPr>
          <w:rFonts w:ascii="Palatino Linotype" w:eastAsia="Times New Roman" w:hAnsi="Palatino Linotype" w:cs="Times New Roman"/>
          <w:i/>
          <w:kern w:val="0"/>
          <w:sz w:val="24"/>
          <w:szCs w:val="32"/>
          <w:lang w:val="en-GB" w:eastAsia="de-DE"/>
        </w:rPr>
        <w:t xml:space="preserve">the corresponding variance is 1.0, and the diagonal elements of </w:t>
      </w:r>
      <m:oMath>
        <m:sSub>
          <m:sSubPr>
            <m:ctrlPr>
              <w:rPr>
                <w:rFonts w:ascii="Cambria Math" w:eastAsia="Times New Roman" w:hAnsi="Cambria Math" w:cs="Times New Roman"/>
                <w:i/>
                <w:kern w:val="0"/>
                <w:sz w:val="24"/>
                <w:szCs w:val="24"/>
                <w:lang w:val="en-GB" w:eastAsia="de-DE"/>
              </w:rPr>
            </m:ctrlPr>
          </m:sSubPr>
          <m:e>
            <m:r>
              <w:rPr>
                <w:rFonts w:ascii="Cambria Math" w:eastAsia="Times New Roman" w:hAnsi="Cambria Math" w:cs="Times New Roman"/>
                <w:kern w:val="0"/>
                <w:sz w:val="24"/>
                <w:szCs w:val="24"/>
                <w:lang w:val="en-GB" w:eastAsia="de-DE"/>
              </w:rPr>
              <m:t>B</m:t>
            </m:r>
          </m:e>
          <m:sub>
            <m:r>
              <w:rPr>
                <w:rFonts w:ascii="Cambria Math" w:eastAsia="Times New Roman" w:hAnsi="Cambria Math" w:cs="Times New Roman"/>
                <w:kern w:val="0"/>
                <w:sz w:val="24"/>
                <w:szCs w:val="24"/>
                <w:lang w:val="en-GB" w:eastAsia="de-DE"/>
              </w:rPr>
              <m:t>i</m:t>
            </m:r>
          </m:sub>
        </m:sSub>
      </m:oMath>
      <w:r w:rsidR="00A36627" w:rsidRPr="00A36627">
        <w:rPr>
          <w:rFonts w:ascii="Palatino Linotype" w:eastAsia="Times New Roman" w:hAnsi="Palatino Linotype" w:cs="Times New Roman"/>
          <w:i/>
          <w:kern w:val="0"/>
          <w:sz w:val="24"/>
          <w:szCs w:val="32"/>
          <w:lang w:val="en-GB" w:eastAsia="de-DE"/>
        </w:rPr>
        <w:t xml:space="preserve"> were set to 1.0.</w:t>
      </w:r>
      <w:r w:rsidR="00A36627" w:rsidRPr="00A36627">
        <w:rPr>
          <w:rFonts w:ascii="Times New Roman" w:eastAsia="Times New Roman" w:hAnsi="Times New Roman" w:cs="Times New Roman"/>
          <w:kern w:val="0"/>
          <w:sz w:val="24"/>
          <w:szCs w:val="32"/>
          <w:lang w:val="en-GB" w:eastAsia="de-DE"/>
        </w:rPr>
        <w:t xml:space="preserve"> </w:t>
      </w:r>
      <w:r w:rsidRPr="006C3B1E">
        <w:rPr>
          <w:rFonts w:ascii="Palatino Linotype" w:hAnsi="Palatino Linotype"/>
          <w:i/>
          <w:iCs/>
          <w:sz w:val="24"/>
          <w:szCs w:val="24"/>
        </w:rPr>
        <w:t xml:space="preserve">Under this Gaussian error assumption, the background penalty term is symmetrically evaluated; for instance, a doubling of emissions </w:t>
      </w:r>
      <w:r w:rsidRPr="006C3B1E">
        <w:rPr>
          <w:rFonts w:ascii="Palatino Linotype" w:eastAsia="바탕" w:hAnsi="Palatino Linotype"/>
          <w:i/>
          <w:iCs/>
          <w:sz w:val="24"/>
          <w:szCs w:val="24"/>
        </w:rPr>
        <w:t>(</w:t>
      </w:r>
      <m:oMath>
        <m:sSub>
          <m:sSubPr>
            <m:ctrlPr>
              <w:rPr>
                <w:rFonts w:ascii="Cambria Math" w:hAnsi="Cambria Math"/>
                <w:i/>
                <w:iCs/>
                <w:sz w:val="24"/>
                <w:szCs w:val="24"/>
              </w:rPr>
            </m:ctrlPr>
          </m:sSubPr>
          <m:e>
            <m:r>
              <w:rPr>
                <w:rFonts w:ascii="Cambria Math" w:hAnsi="Cambria Math"/>
                <w:sz w:val="24"/>
                <w:szCs w:val="24"/>
              </w:rPr>
              <m:t>α</m:t>
            </m:r>
          </m:e>
          <m:sub>
            <m:r>
              <w:rPr>
                <w:rFonts w:ascii="Cambria Math" w:hAnsi="Cambria Math"/>
                <w:sz w:val="24"/>
                <w:szCs w:val="24"/>
              </w:rPr>
              <m:t>i</m:t>
            </m:r>
          </m:sub>
        </m:sSub>
        <m:r>
          <w:rPr>
            <w:rFonts w:ascii="Cambria Math" w:hAnsi="Cambria Math"/>
            <w:sz w:val="24"/>
            <w:szCs w:val="24"/>
          </w:rPr>
          <m:t>=2</m:t>
        </m:r>
      </m:oMath>
      <w:r w:rsidRPr="006C3B1E">
        <w:rPr>
          <w:rFonts w:ascii="Palatino Linotype" w:hAnsi="Palatino Linotype"/>
          <w:i/>
          <w:iCs/>
          <w:sz w:val="24"/>
          <w:szCs w:val="24"/>
        </w:rPr>
        <w:t>) and a complete zeroing of emissions (</w:t>
      </w:r>
      <m:oMath>
        <m:sSub>
          <m:sSubPr>
            <m:ctrlPr>
              <w:rPr>
                <w:rFonts w:ascii="Cambria Math" w:hAnsi="Cambria Math"/>
                <w:i/>
                <w:iCs/>
                <w:sz w:val="24"/>
                <w:szCs w:val="24"/>
              </w:rPr>
            </m:ctrlPr>
          </m:sSubPr>
          <m:e>
            <m:r>
              <w:rPr>
                <w:rFonts w:ascii="Cambria Math" w:hAnsi="Cambria Math"/>
                <w:sz w:val="24"/>
                <w:szCs w:val="24"/>
              </w:rPr>
              <m:t>α</m:t>
            </m:r>
          </m:e>
          <m:sub>
            <m:r>
              <w:rPr>
                <w:rFonts w:ascii="Cambria Math" w:hAnsi="Cambria Math"/>
                <w:sz w:val="24"/>
                <w:szCs w:val="24"/>
              </w:rPr>
              <m:t>i</m:t>
            </m:r>
          </m:sub>
        </m:sSub>
        <m:r>
          <w:rPr>
            <w:rFonts w:ascii="Cambria Math" w:hAnsi="Cambria Math"/>
            <w:sz w:val="24"/>
            <w:szCs w:val="24"/>
          </w:rPr>
          <m:t>=0</m:t>
        </m:r>
      </m:oMath>
      <w:r w:rsidRPr="006C3B1E">
        <w:rPr>
          <w:rFonts w:ascii="Palatino Linotype" w:hAnsi="Palatino Linotype"/>
          <w:i/>
          <w:iCs/>
          <w:sz w:val="24"/>
          <w:szCs w:val="24"/>
        </w:rPr>
        <w:t>) incur the same mathematical penalty in the cost function.</w:t>
      </w:r>
    </w:p>
    <w:p w14:paraId="1C537AEB" w14:textId="654B4A22" w:rsidR="00A24519" w:rsidRDefault="00A24519">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3026016E" w14:textId="34FDDF16" w:rsidR="00D25834" w:rsidRPr="00D25834" w:rsidRDefault="007F07DA" w:rsidP="004F3654">
      <w:pPr>
        <w:widowControl/>
        <w:wordWrap/>
        <w:autoSpaceDE/>
        <w:autoSpaceDN/>
        <w:spacing w:line="22" w:lineRule="atLeast"/>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8</w:t>
      </w:r>
      <w:r>
        <w:rPr>
          <w:rFonts w:ascii="Palatino Linotype" w:eastAsia="굴림" w:hAnsi="Palatino Linotype" w:cs="Times New Roman"/>
          <w:color w:val="0A0A0A"/>
          <w:kern w:val="0"/>
          <w:sz w:val="24"/>
          <w:szCs w:val="24"/>
        </w:rPr>
        <w:t xml:space="preserve">: </w:t>
      </w:r>
      <w:r w:rsidR="004F3AD4" w:rsidRPr="004F3AD4">
        <w:rPr>
          <w:rFonts w:ascii="Palatino Linotype" w:eastAsia="굴림" w:hAnsi="Palatino Linotype" w:cs="Times New Roman"/>
          <w:color w:val="0A0A0A"/>
          <w:kern w:val="0"/>
          <w:sz w:val="24"/>
          <w:szCs w:val="24"/>
        </w:rPr>
        <w:t>200: Please provide the values of the measurement errors and representativeness errors, and how the latter were obtained. I don’t see either of these quantified here nor in section 2.2.1.</w:t>
      </w:r>
    </w:p>
    <w:p w14:paraId="3D11AAEF" w14:textId="7DB393E8" w:rsidR="00D25834" w:rsidRDefault="009D0114" w:rsidP="004F3654">
      <w:pPr>
        <w:widowControl/>
        <w:wordWrap/>
        <w:autoSpaceDE/>
        <w:autoSpaceDN/>
        <w:spacing w:line="22" w:lineRule="atLeast"/>
        <w:rPr>
          <w:rFonts w:ascii="Palatino Linotype" w:eastAsia="굴림" w:hAnsi="Palatino Linotype" w:cs="Times New Roman"/>
          <w:b/>
          <w:bCs/>
          <w:color w:val="0A0A0A"/>
          <w:kern w:val="0"/>
          <w:sz w:val="24"/>
          <w:szCs w:val="24"/>
        </w:rPr>
      </w:pPr>
      <w:r w:rsidRPr="0099212A">
        <w:rPr>
          <w:rFonts w:ascii="Palatino Linotype" w:hAnsi="Palatino Linotype" w:cs="Times New Roman"/>
          <w:b/>
          <w:bCs/>
          <w:color w:val="FF0000"/>
          <w:sz w:val="24"/>
          <w:szCs w:val="28"/>
          <w:shd w:val="clear" w:color="auto" w:fill="FFFFFF"/>
        </w:rPr>
        <w:t>Response</w:t>
      </w:r>
      <w:r w:rsidRPr="0099212A">
        <w:rPr>
          <w:rFonts w:ascii="Palatino Linotype" w:hAnsi="Palatino Linotype" w:cs="Times New Roman"/>
          <w:b/>
          <w:bCs/>
          <w:sz w:val="24"/>
          <w:szCs w:val="28"/>
          <w:shd w:val="clear" w:color="auto" w:fill="FFFFFF"/>
        </w:rPr>
        <w:t>:</w:t>
      </w:r>
      <w:r w:rsidRPr="0099212A">
        <w:rPr>
          <w:b/>
          <w:bCs/>
        </w:rPr>
        <w:t xml:space="preserve"> </w:t>
      </w:r>
      <w:r w:rsidRPr="009D0114">
        <w:rPr>
          <w:rFonts w:ascii="Palatino Linotype" w:eastAsia="굴림" w:hAnsi="Palatino Linotype" w:cs="Times New Roman"/>
          <w:b/>
          <w:bCs/>
          <w:color w:val="0A0A0A"/>
          <w:kern w:val="0"/>
          <w:sz w:val="24"/>
          <w:szCs w:val="24"/>
        </w:rPr>
        <w:t xml:space="preserve">We have provided the specific values and parameterizations used to construct the observation error covariance matrix. Following the methodologies of </w:t>
      </w:r>
      <w:proofErr w:type="spellStart"/>
      <w:r w:rsidRPr="009D0114">
        <w:rPr>
          <w:rFonts w:ascii="Palatino Linotype" w:eastAsia="굴림" w:hAnsi="Palatino Linotype" w:cs="Times New Roman"/>
          <w:b/>
          <w:bCs/>
          <w:color w:val="0A0A0A"/>
          <w:kern w:val="0"/>
          <w:sz w:val="24"/>
          <w:szCs w:val="24"/>
        </w:rPr>
        <w:t>Elbern</w:t>
      </w:r>
      <w:proofErr w:type="spellEnd"/>
      <w:r w:rsidRPr="009D0114">
        <w:rPr>
          <w:rFonts w:ascii="Palatino Linotype" w:eastAsia="굴림" w:hAnsi="Palatino Linotype" w:cs="Times New Roman"/>
          <w:b/>
          <w:bCs/>
          <w:color w:val="0A0A0A"/>
          <w:kern w:val="0"/>
          <w:sz w:val="24"/>
          <w:szCs w:val="24"/>
        </w:rPr>
        <w:t xml:space="preserve"> et al. (2007) and </w:t>
      </w:r>
      <w:r w:rsidR="00441108" w:rsidRPr="00441108">
        <w:rPr>
          <w:rFonts w:ascii="Palatino Linotype" w:eastAsia="굴림" w:hAnsi="Palatino Linotype" w:cs="Times New Roman"/>
          <w:b/>
          <w:bCs/>
          <w:color w:val="0A0A0A"/>
          <w:kern w:val="0"/>
          <w:sz w:val="24"/>
          <w:szCs w:val="24"/>
        </w:rPr>
        <w:t xml:space="preserve">Feng et al., </w:t>
      </w:r>
      <w:r w:rsidR="00441108">
        <w:rPr>
          <w:rFonts w:ascii="Palatino Linotype" w:eastAsia="굴림" w:hAnsi="Palatino Linotype" w:cs="Times New Roman"/>
          <w:b/>
          <w:bCs/>
          <w:color w:val="0A0A0A"/>
          <w:kern w:val="0"/>
          <w:sz w:val="24"/>
          <w:szCs w:val="24"/>
        </w:rPr>
        <w:t>(</w:t>
      </w:r>
      <w:r w:rsidR="00441108" w:rsidRPr="00441108">
        <w:rPr>
          <w:rFonts w:ascii="Palatino Linotype" w:eastAsia="굴림" w:hAnsi="Palatino Linotype" w:cs="Times New Roman"/>
          <w:b/>
          <w:bCs/>
          <w:color w:val="0A0A0A"/>
          <w:kern w:val="0"/>
          <w:sz w:val="24"/>
          <w:szCs w:val="24"/>
        </w:rPr>
        <w:t>2018</w:t>
      </w:r>
      <w:r w:rsidR="00441108">
        <w:rPr>
          <w:rFonts w:ascii="Palatino Linotype" w:eastAsia="굴림" w:hAnsi="Palatino Linotype" w:cs="Times New Roman"/>
          <w:b/>
          <w:bCs/>
          <w:color w:val="0A0A0A"/>
          <w:kern w:val="0"/>
          <w:sz w:val="24"/>
          <w:szCs w:val="24"/>
        </w:rPr>
        <w:t>)</w:t>
      </w:r>
      <w:r w:rsidRPr="009D0114">
        <w:rPr>
          <w:rFonts w:ascii="Palatino Linotype" w:eastAsia="굴림" w:hAnsi="Palatino Linotype" w:cs="Times New Roman"/>
          <w:b/>
          <w:bCs/>
          <w:color w:val="0A0A0A"/>
          <w:kern w:val="0"/>
          <w:sz w:val="24"/>
          <w:szCs w:val="24"/>
        </w:rPr>
        <w:t>, the measurement and representativeness errors are quantitatively defined based on base error limits, observed concentrations, model grid spacing, and the radius of influence of the observation stations. We have updated Section 2.3.2 to explicitly include these detailed equations and parameter values.</w:t>
      </w:r>
    </w:p>
    <w:p w14:paraId="28680A00" w14:textId="4FEDC896" w:rsidR="00484C46" w:rsidRPr="00484C46" w:rsidRDefault="00484C46" w:rsidP="00484C46">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Section 2.3.2 </w:t>
      </w:r>
      <w:r w:rsidRPr="00964E09">
        <w:rPr>
          <w:rFonts w:ascii="Palatino Linotype" w:hAnsi="Palatino Linotype" w:cs="Times New Roman"/>
          <w:i/>
          <w:color w:val="0A0A0A"/>
          <w:sz w:val="24"/>
          <w:szCs w:val="24"/>
          <w:shd w:val="clear" w:color="auto" w:fill="FEFEFE"/>
        </w:rPr>
        <w:t>in the revised manuscript&gt;</w:t>
      </w:r>
    </w:p>
    <w:p w14:paraId="267A206B" w14:textId="786AF2BC" w:rsidR="008661D1" w:rsidRDefault="008661D1" w:rsidP="004F3654">
      <w:pPr>
        <w:widowControl/>
        <w:wordWrap/>
        <w:autoSpaceDE/>
        <w:autoSpaceDN/>
        <w:spacing w:line="22" w:lineRule="atLeast"/>
        <w:rPr>
          <w:rFonts w:ascii="Palatino Linotype" w:hAnsi="Palatino Linotype"/>
          <w:i/>
          <w:iCs/>
          <w:sz w:val="24"/>
          <w:szCs w:val="24"/>
        </w:rPr>
      </w:pPr>
      <w:r w:rsidRPr="008661D1">
        <w:rPr>
          <w:rFonts w:ascii="Palatino Linotype" w:hAnsi="Palatino Linotype"/>
          <w:i/>
          <w:iCs/>
          <w:sz w:val="24"/>
          <w:szCs w:val="24"/>
        </w:rPr>
        <w:t>For ground-based AQMS observations, the total observational error was estimated as the sum of measurement errors (</w:t>
      </w:r>
      <m:oMath>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ϵ</m:t>
            </m:r>
          </m:e>
          <m:sub>
            <m:r>
              <w:rPr>
                <w:rFonts w:ascii="Cambria Math" w:hAnsi="Cambria Math"/>
                <w:sz w:val="24"/>
                <w:szCs w:val="24"/>
              </w:rPr>
              <m:t>o</m:t>
            </m:r>
          </m:sub>
        </m:sSub>
      </m:oMath>
      <w:r w:rsidRPr="008661D1">
        <w:rPr>
          <w:rFonts w:ascii="Palatino Linotype" w:eastAsia="바탕" w:hAnsi="Palatino Linotype"/>
          <w:i/>
          <w:iCs/>
          <w:sz w:val="24"/>
          <w:szCs w:val="24"/>
        </w:rPr>
        <w:t>)</w:t>
      </w:r>
      <w:r w:rsidRPr="008661D1">
        <w:rPr>
          <w:rFonts w:ascii="Palatino Linotype" w:hAnsi="Palatino Linotype"/>
          <w:i/>
          <w:iCs/>
          <w:sz w:val="24"/>
          <w:szCs w:val="24"/>
        </w:rPr>
        <w:t xml:space="preserve"> and representativeness errors (</w:t>
      </w:r>
      <m:oMath>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ϵ</m:t>
            </m:r>
          </m:e>
          <m:sub>
            <m:r>
              <w:rPr>
                <w:rFonts w:ascii="Cambria Math" w:hAnsi="Cambria Math"/>
                <w:sz w:val="24"/>
                <w:szCs w:val="24"/>
              </w:rPr>
              <m:t>r</m:t>
            </m:r>
          </m:sub>
        </m:sSub>
      </m:oMath>
      <w:r w:rsidRPr="008661D1">
        <w:rPr>
          <w:rFonts w:ascii="Palatino Linotype" w:eastAsia="바탕" w:hAnsi="Palatino Linotype"/>
          <w:i/>
          <w:iCs/>
          <w:sz w:val="24"/>
          <w:szCs w:val="24"/>
        </w:rPr>
        <w:t xml:space="preserve">), such that </w:t>
      </w:r>
      <m:oMath>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ϵ</m:t>
            </m:r>
          </m:e>
          <m:sub>
            <m:r>
              <w:rPr>
                <w:rFonts w:ascii="Cambria Math" w:hAnsi="Cambria Math"/>
                <w:sz w:val="24"/>
                <w:szCs w:val="24"/>
              </w:rPr>
              <m:t>tot</m:t>
            </m:r>
          </m:sub>
        </m:sSub>
        <m:r>
          <w:rPr>
            <w:rFonts w:ascii="Cambria Math" w:hAnsi="Cambria Math"/>
            <w:sz w:val="24"/>
            <w:szCs w:val="24"/>
          </w:rPr>
          <m:t>=</m:t>
        </m:r>
        <m:rad>
          <m:radPr>
            <m:degHide m:val="1"/>
            <m:ctrlPr>
              <w:rPr>
                <w:rFonts w:ascii="Cambria Math" w:eastAsia="Times New Roman" w:hAnsi="Cambria Math" w:cs="Times New Roman"/>
                <w:i/>
                <w:iCs/>
                <w:kern w:val="0"/>
                <w:sz w:val="24"/>
                <w:szCs w:val="24"/>
                <w:lang w:val="en-GB" w:eastAsia="de-DE"/>
              </w:rPr>
            </m:ctrlPr>
          </m:radPr>
          <m:deg/>
          <m:e>
            <m:sSubSup>
              <m:sSubSupPr>
                <m:ctrlPr>
                  <w:rPr>
                    <w:rFonts w:ascii="Cambria Math" w:eastAsia="Times New Roman" w:hAnsi="Cambria Math" w:cs="Times New Roman"/>
                    <w:i/>
                    <w:iCs/>
                    <w:kern w:val="0"/>
                    <w:sz w:val="24"/>
                    <w:szCs w:val="24"/>
                    <w:lang w:val="en-GB" w:eastAsia="de-DE"/>
                  </w:rPr>
                </m:ctrlPr>
              </m:sSubSupPr>
              <m:e>
                <m:r>
                  <w:rPr>
                    <w:rFonts w:ascii="Cambria Math" w:hAnsi="Cambria Math"/>
                    <w:sz w:val="24"/>
                    <w:szCs w:val="24"/>
                  </w:rPr>
                  <m:t>ϵ</m:t>
                </m:r>
              </m:e>
              <m:sub>
                <m:r>
                  <w:rPr>
                    <w:rFonts w:ascii="Cambria Math" w:hAnsi="Cambria Math"/>
                    <w:sz w:val="24"/>
                    <w:szCs w:val="24"/>
                  </w:rPr>
                  <m:t>o</m:t>
                </m:r>
              </m:sub>
              <m:sup>
                <m:r>
                  <w:rPr>
                    <w:rFonts w:ascii="Cambria Math" w:hAnsi="Cambria Math"/>
                    <w:sz w:val="24"/>
                    <w:szCs w:val="24"/>
                  </w:rPr>
                  <m:t>2</m:t>
                </m:r>
              </m:sup>
            </m:sSubSup>
            <m:r>
              <w:rPr>
                <w:rFonts w:ascii="Cambria Math" w:hAnsi="Cambria Math"/>
                <w:sz w:val="24"/>
                <w:szCs w:val="24"/>
              </w:rPr>
              <m:t>+</m:t>
            </m:r>
            <m:sSubSup>
              <m:sSubSupPr>
                <m:ctrlPr>
                  <w:rPr>
                    <w:rFonts w:ascii="Cambria Math" w:eastAsia="Times New Roman" w:hAnsi="Cambria Math" w:cs="Times New Roman"/>
                    <w:i/>
                    <w:iCs/>
                    <w:kern w:val="0"/>
                    <w:sz w:val="24"/>
                    <w:szCs w:val="24"/>
                    <w:lang w:val="en-GB" w:eastAsia="de-DE"/>
                  </w:rPr>
                </m:ctrlPr>
              </m:sSubSupPr>
              <m:e>
                <m:r>
                  <w:rPr>
                    <w:rFonts w:ascii="Cambria Math" w:hAnsi="Cambria Math"/>
                    <w:sz w:val="24"/>
                    <w:szCs w:val="24"/>
                  </w:rPr>
                  <m:t>ϵ</m:t>
                </m:r>
              </m:e>
              <m:sub>
                <m:r>
                  <w:rPr>
                    <w:rFonts w:ascii="Cambria Math" w:hAnsi="Cambria Math"/>
                    <w:sz w:val="24"/>
                    <w:szCs w:val="24"/>
                  </w:rPr>
                  <m:t>r</m:t>
                </m:r>
              </m:sub>
              <m:sup>
                <m:r>
                  <w:rPr>
                    <w:rFonts w:ascii="Cambria Math" w:hAnsi="Cambria Math"/>
                    <w:sz w:val="24"/>
                    <w:szCs w:val="24"/>
                  </w:rPr>
                  <m:t>2</m:t>
                </m:r>
              </m:sup>
            </m:sSubSup>
          </m:e>
        </m:rad>
      </m:oMath>
      <w:r w:rsidRPr="008661D1">
        <w:rPr>
          <w:rFonts w:ascii="Palatino Linotype" w:hAnsi="Palatino Linotype"/>
          <w:i/>
          <w:iCs/>
          <w:sz w:val="24"/>
          <w:szCs w:val="24"/>
        </w:rPr>
        <w:t xml:space="preserve"> (Elbern et al., 2007; Feng et al., 2018).</w:t>
      </w:r>
      <w:r w:rsidRPr="008661D1">
        <w:rPr>
          <w:rFonts w:ascii="Palatino Linotype" w:hAnsi="Palatino Linotype"/>
          <w:i/>
          <w:iCs/>
          <w:sz w:val="24"/>
          <w:szCs w:val="28"/>
        </w:rPr>
        <w:t xml:space="preserve"> </w:t>
      </w:r>
      <w:r w:rsidRPr="008661D1">
        <w:rPr>
          <w:rFonts w:ascii="Palatino Linotype" w:hAnsi="Palatino Linotype"/>
          <w:i/>
          <w:iCs/>
          <w:sz w:val="24"/>
          <w:szCs w:val="24"/>
        </w:rPr>
        <w:t xml:space="preserve">Specifically, </w:t>
      </w:r>
      <m:oMath>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ϵ</m:t>
            </m:r>
          </m:e>
          <m:sub>
            <m:r>
              <w:rPr>
                <w:rFonts w:ascii="Cambria Math" w:hAnsi="Cambria Math"/>
                <w:sz w:val="24"/>
                <w:szCs w:val="24"/>
              </w:rPr>
              <m:t>o</m:t>
            </m:r>
          </m:sub>
        </m:sSub>
      </m:oMath>
      <w:r w:rsidRPr="008661D1">
        <w:rPr>
          <w:rFonts w:ascii="Palatino Linotype" w:hAnsi="Palatino Linotype"/>
          <w:i/>
          <w:iCs/>
          <w:sz w:val="24"/>
          <w:szCs w:val="24"/>
        </w:rPr>
        <w:t xml:space="preserve"> is defined as </w:t>
      </w:r>
      <m:oMath>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ϵ</m:t>
            </m:r>
          </m:e>
          <m:sub>
            <m:r>
              <w:rPr>
                <w:rFonts w:ascii="Cambria Math" w:hAnsi="Cambria Math"/>
                <w:sz w:val="24"/>
                <w:szCs w:val="24"/>
              </w:rPr>
              <m:t>max</m:t>
            </m:r>
          </m:sub>
        </m:sSub>
        <m:r>
          <w:rPr>
            <w:rFonts w:ascii="Cambria Math" w:hAnsi="Cambria Math"/>
            <w:sz w:val="24"/>
            <w:szCs w:val="24"/>
          </w:rPr>
          <m:t>+0.0075×</m:t>
        </m:r>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y</m:t>
            </m:r>
          </m:e>
          <m:sub>
            <m:r>
              <w:rPr>
                <w:rFonts w:ascii="Cambria Math" w:hAnsi="Cambria Math"/>
                <w:sz w:val="24"/>
                <w:szCs w:val="24"/>
              </w:rPr>
              <m:t>obs</m:t>
            </m:r>
          </m:sub>
        </m:sSub>
      </m:oMath>
      <w:r w:rsidRPr="008661D1">
        <w:rPr>
          <w:rFonts w:ascii="Palatino Linotype" w:hAnsi="Palatino Linotype"/>
          <w:i/>
          <w:iCs/>
          <w:sz w:val="24"/>
          <w:szCs w:val="24"/>
        </w:rPr>
        <w:t xml:space="preserve">, where </w:t>
      </w:r>
      <m:oMath>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ϵ</m:t>
            </m:r>
          </m:e>
          <m:sub>
            <m:r>
              <w:rPr>
                <w:rFonts w:ascii="Cambria Math" w:hAnsi="Cambria Math"/>
                <w:sz w:val="24"/>
                <w:szCs w:val="24"/>
              </w:rPr>
              <m:t>max</m:t>
            </m:r>
          </m:sub>
        </m:sSub>
      </m:oMath>
      <w:r w:rsidRPr="008661D1">
        <w:rPr>
          <w:rFonts w:ascii="Palatino Linotype" w:hAnsi="Palatino Linotype"/>
          <w:i/>
          <w:iCs/>
          <w:sz w:val="24"/>
          <w:szCs w:val="24"/>
        </w:rPr>
        <w:t xml:space="preserve"> is a base error limit set to 1.5 </w:t>
      </w:r>
      <m:oMath>
        <m:r>
          <w:rPr>
            <w:rFonts w:ascii="Cambria Math" w:hAnsi="Cambria Math"/>
            <w:sz w:val="24"/>
            <w:szCs w:val="24"/>
          </w:rPr>
          <m:t xml:space="preserve">μg </m:t>
        </m:r>
        <m:sSup>
          <m:sSupPr>
            <m:ctrlPr>
              <w:rPr>
                <w:rFonts w:ascii="Cambria Math" w:eastAsia="Times New Roman" w:hAnsi="Cambria Math" w:cs="Times New Roman"/>
                <w:i/>
                <w:iCs/>
                <w:kern w:val="0"/>
                <w:sz w:val="24"/>
                <w:szCs w:val="24"/>
                <w:lang w:val="en-GB" w:eastAsia="de-DE"/>
              </w:rPr>
            </m:ctrlPr>
          </m:sSupPr>
          <m:e>
            <m:r>
              <w:rPr>
                <w:rFonts w:ascii="Cambria Math" w:hAnsi="Cambria Math"/>
                <w:sz w:val="24"/>
                <w:szCs w:val="24"/>
              </w:rPr>
              <m:t>m</m:t>
            </m:r>
          </m:e>
          <m:sup>
            <m:r>
              <w:rPr>
                <w:rFonts w:ascii="Cambria Math" w:hAnsi="Cambria Math"/>
                <w:sz w:val="24"/>
                <w:szCs w:val="24"/>
              </w:rPr>
              <m:t>-3</m:t>
            </m:r>
          </m:sup>
        </m:sSup>
      </m:oMath>
      <w:r w:rsidRPr="008661D1">
        <w:rPr>
          <w:rFonts w:ascii="Palatino Linotype" w:eastAsia="바탕" w:hAnsi="Palatino Linotype"/>
          <w:i/>
          <w:iCs/>
          <w:sz w:val="24"/>
          <w:szCs w:val="24"/>
        </w:rPr>
        <w:t xml:space="preserve"> </w:t>
      </w:r>
      <w:r w:rsidRPr="008661D1">
        <w:rPr>
          <w:rFonts w:ascii="Palatino Linotype" w:hAnsi="Palatino Linotype"/>
          <w:i/>
          <w:iCs/>
          <w:sz w:val="24"/>
          <w:szCs w:val="24"/>
        </w:rPr>
        <w:t>for both NO</w:t>
      </w:r>
      <w:r w:rsidRPr="008661D1">
        <w:rPr>
          <w:rFonts w:ascii="Palatino Linotype" w:hAnsi="Palatino Linotype"/>
          <w:i/>
          <w:iCs/>
          <w:sz w:val="24"/>
          <w:szCs w:val="24"/>
          <w:vertAlign w:val="subscript"/>
        </w:rPr>
        <w:t>2</w:t>
      </w:r>
      <w:r w:rsidRPr="008661D1">
        <w:rPr>
          <w:rFonts w:ascii="Palatino Linotype" w:hAnsi="Palatino Linotype"/>
          <w:i/>
          <w:iCs/>
          <w:sz w:val="24"/>
          <w:szCs w:val="24"/>
        </w:rPr>
        <w:t xml:space="preserve"> and O</w:t>
      </w:r>
      <w:r w:rsidRPr="008661D1">
        <w:rPr>
          <w:rFonts w:ascii="Palatino Linotype" w:hAnsi="Palatino Linotype"/>
          <w:i/>
          <w:iCs/>
          <w:sz w:val="24"/>
          <w:szCs w:val="24"/>
          <w:vertAlign w:val="subscript"/>
        </w:rPr>
        <w:t>3</w:t>
      </w:r>
      <w:r w:rsidRPr="008661D1">
        <w:rPr>
          <w:rFonts w:ascii="Palatino Linotype" w:hAnsi="Palatino Linotype"/>
          <w:i/>
          <w:iCs/>
          <w:sz w:val="24"/>
          <w:szCs w:val="24"/>
        </w:rPr>
        <w:t xml:space="preserve">, and </w:t>
      </w:r>
      <m:oMath>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y</m:t>
            </m:r>
          </m:e>
          <m:sub>
            <m:r>
              <w:rPr>
                <w:rFonts w:ascii="Cambria Math" w:hAnsi="Cambria Math"/>
                <w:sz w:val="24"/>
                <w:szCs w:val="24"/>
              </w:rPr>
              <m:t>obs</m:t>
            </m:r>
          </m:sub>
        </m:sSub>
      </m:oMath>
      <w:r w:rsidRPr="008661D1">
        <w:rPr>
          <w:rFonts w:ascii="Palatino Linotype" w:hAnsi="Palatino Linotype"/>
          <w:i/>
          <w:iCs/>
          <w:sz w:val="24"/>
          <w:szCs w:val="24"/>
        </w:rPr>
        <w:t xml:space="preserve"> is the observed concentration. The representativeness error (</w:t>
      </w:r>
      <m:oMath>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ϵ</m:t>
            </m:r>
          </m:e>
          <m:sub>
            <m:r>
              <w:rPr>
                <w:rFonts w:ascii="Cambria Math" w:hAnsi="Cambria Math"/>
                <w:sz w:val="24"/>
                <w:szCs w:val="24"/>
              </w:rPr>
              <m:t>r</m:t>
            </m:r>
          </m:sub>
        </m:sSub>
      </m:oMath>
      <w:r w:rsidRPr="008661D1">
        <w:rPr>
          <w:rFonts w:ascii="Palatino Linotype" w:hAnsi="Palatino Linotype"/>
          <w:i/>
          <w:iCs/>
          <w:sz w:val="24"/>
          <w:szCs w:val="24"/>
        </w:rPr>
        <w:t xml:space="preserve">) is parameterized as </w:t>
      </w:r>
      <m:oMath>
        <m:sSub>
          <m:sSubPr>
            <m:ctrlPr>
              <w:rPr>
                <w:rFonts w:ascii="Cambria Math" w:eastAsia="Times New Roman" w:hAnsi="Cambria Math" w:cs="Times New Roman"/>
                <w:i/>
                <w:iCs/>
                <w:kern w:val="0"/>
                <w:sz w:val="24"/>
                <w:szCs w:val="24"/>
                <w:lang w:val="en-GB" w:eastAsia="de-DE"/>
              </w:rPr>
            </m:ctrlPr>
          </m:sSubPr>
          <m:e>
            <m:r>
              <w:rPr>
                <w:rFonts w:ascii="Cambria Math" w:hAnsi="Cambria Math"/>
                <w:sz w:val="24"/>
                <w:szCs w:val="24"/>
              </w:rPr>
              <m:t>ϵ</m:t>
            </m:r>
          </m:e>
          <m:sub>
            <m:r>
              <w:rPr>
                <w:rFonts w:ascii="Cambria Math" w:hAnsi="Cambria Math"/>
                <w:sz w:val="24"/>
                <w:szCs w:val="24"/>
              </w:rPr>
              <m:t>r</m:t>
            </m:r>
          </m:sub>
        </m:sSub>
        <m:r>
          <w:rPr>
            <w:rFonts w:ascii="Cambria Math" w:hAnsi="Cambria Math"/>
            <w:sz w:val="24"/>
            <w:szCs w:val="24"/>
          </w:rPr>
          <m:t>=κ</m:t>
        </m:r>
        <m:rad>
          <m:radPr>
            <m:degHide m:val="1"/>
            <m:ctrlPr>
              <w:rPr>
                <w:rFonts w:ascii="Cambria Math" w:eastAsia="Times New Roman" w:hAnsi="Cambria Math" w:cs="Times New Roman"/>
                <w:i/>
                <w:iCs/>
                <w:kern w:val="0"/>
                <w:sz w:val="24"/>
                <w:szCs w:val="24"/>
                <w:lang w:val="en-GB" w:eastAsia="de-DE"/>
              </w:rPr>
            </m:ctrlPr>
          </m:radPr>
          <m:deg/>
          <m:e>
            <m:r>
              <w:rPr>
                <w:rFonts w:ascii="Cambria Math" w:hAnsi="Cambria Math"/>
                <w:sz w:val="24"/>
                <w:szCs w:val="24"/>
              </w:rPr>
              <m:t>∆x/L</m:t>
            </m:r>
          </m:e>
        </m:rad>
      </m:oMath>
      <w:r w:rsidRPr="008661D1">
        <w:rPr>
          <w:rFonts w:ascii="Palatino Linotype" w:hAnsi="Palatino Linotype"/>
          <w:i/>
          <w:iCs/>
          <w:sz w:val="24"/>
          <w:szCs w:val="24"/>
        </w:rPr>
        <w:t xml:space="preserve">, where </w:t>
      </w:r>
      <m:oMath>
        <m:r>
          <w:rPr>
            <w:rFonts w:ascii="Cambria Math" w:hAnsi="Cambria Math"/>
            <w:sz w:val="24"/>
            <w:szCs w:val="24"/>
          </w:rPr>
          <m:t>κ</m:t>
        </m:r>
      </m:oMath>
      <w:r w:rsidRPr="008661D1">
        <w:rPr>
          <w:rFonts w:ascii="Palatino Linotype" w:hAnsi="Palatino Linotype"/>
          <w:i/>
          <w:iCs/>
          <w:sz w:val="24"/>
          <w:szCs w:val="24"/>
        </w:rPr>
        <w:t xml:space="preserve"> is a tunable scaling factor (0.5), </w:t>
      </w:r>
      <m:oMath>
        <m:r>
          <w:rPr>
            <w:rFonts w:ascii="Cambria Math" w:hAnsi="Cambria Math"/>
            <w:sz w:val="24"/>
            <w:szCs w:val="24"/>
          </w:rPr>
          <m:t>∆x</m:t>
        </m:r>
      </m:oMath>
      <w:r w:rsidRPr="008661D1">
        <w:rPr>
          <w:rFonts w:ascii="Palatino Linotype" w:hAnsi="Palatino Linotype"/>
          <w:i/>
          <w:iCs/>
          <w:sz w:val="24"/>
          <w:szCs w:val="24"/>
        </w:rPr>
        <w:t xml:space="preserve"> is the grid spacing (9 km), and </w:t>
      </w:r>
      <m:oMath>
        <m:r>
          <w:rPr>
            <w:rFonts w:ascii="Cambria Math" w:hAnsi="Cambria Math"/>
            <w:sz w:val="24"/>
            <w:szCs w:val="24"/>
          </w:rPr>
          <m:t>L</m:t>
        </m:r>
      </m:oMath>
      <w:r w:rsidRPr="008661D1">
        <w:rPr>
          <w:rFonts w:ascii="Palatino Linotype" w:hAnsi="Palatino Linotype"/>
          <w:i/>
          <w:iCs/>
          <w:sz w:val="24"/>
          <w:szCs w:val="24"/>
        </w:rPr>
        <w:t xml:space="preserve"> represents the radius of influence of an observation (set to 3 km).</w:t>
      </w:r>
    </w:p>
    <w:p w14:paraId="23648814" w14:textId="77777777" w:rsidR="008661D1" w:rsidRPr="008661D1" w:rsidRDefault="008661D1" w:rsidP="004F3654">
      <w:pPr>
        <w:widowControl/>
        <w:wordWrap/>
        <w:autoSpaceDE/>
        <w:autoSpaceDN/>
        <w:spacing w:line="22" w:lineRule="atLeast"/>
        <w:rPr>
          <w:rFonts w:ascii="Palatino Linotype" w:eastAsia="굴림" w:hAnsi="Palatino Linotype" w:cs="Times New Roman"/>
          <w:i/>
          <w:iCs/>
          <w:color w:val="0A0A0A"/>
          <w:kern w:val="0"/>
          <w:sz w:val="32"/>
          <w:szCs w:val="32"/>
        </w:rPr>
      </w:pPr>
    </w:p>
    <w:p w14:paraId="69D761B9" w14:textId="3D4FDD69" w:rsidR="00D25834" w:rsidRDefault="007F07DA" w:rsidP="004F3654">
      <w:pPr>
        <w:widowControl/>
        <w:wordWrap/>
        <w:autoSpaceDE/>
        <w:autoSpaceDN/>
        <w:spacing w:line="22" w:lineRule="atLeast"/>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9</w:t>
      </w:r>
      <w:r>
        <w:rPr>
          <w:rFonts w:ascii="Palatino Linotype" w:eastAsia="굴림" w:hAnsi="Palatino Linotype" w:cs="Times New Roman"/>
          <w:color w:val="0A0A0A"/>
          <w:kern w:val="0"/>
          <w:sz w:val="24"/>
          <w:szCs w:val="24"/>
        </w:rPr>
        <w:t xml:space="preserve">: </w:t>
      </w:r>
      <w:r w:rsidR="004F3AD4" w:rsidRPr="004F3AD4">
        <w:rPr>
          <w:rFonts w:ascii="Palatino Linotype" w:eastAsia="굴림" w:hAnsi="Palatino Linotype" w:cs="Times New Roman"/>
          <w:color w:val="0A0A0A"/>
          <w:kern w:val="0"/>
          <w:sz w:val="24"/>
          <w:szCs w:val="24"/>
        </w:rPr>
        <w:t xml:space="preserve">203: Please show the L curve and provide the optimal value of gamma that was found. </w:t>
      </w:r>
      <w:proofErr w:type="gramStart"/>
      <w:r w:rsidR="004F3AD4" w:rsidRPr="004F3AD4">
        <w:rPr>
          <w:rFonts w:ascii="Palatino Linotype" w:eastAsia="굴림" w:hAnsi="Palatino Linotype" w:cs="Times New Roman"/>
          <w:color w:val="0A0A0A"/>
          <w:kern w:val="0"/>
          <w:sz w:val="24"/>
          <w:szCs w:val="24"/>
        </w:rPr>
        <w:t>Ok..</w:t>
      </w:r>
      <w:proofErr w:type="gramEnd"/>
      <w:r w:rsidR="004F3AD4" w:rsidRPr="004F3AD4">
        <w:rPr>
          <w:rFonts w:ascii="Palatino Linotype" w:eastAsia="굴림" w:hAnsi="Palatino Linotype" w:cs="Times New Roman"/>
          <w:color w:val="0A0A0A"/>
          <w:kern w:val="0"/>
          <w:sz w:val="24"/>
          <w:szCs w:val="24"/>
        </w:rPr>
        <w:t xml:space="preserve"> I see this now in the supplemental and later in section 3.1. Well, in Fig S2, I don’t believe t</w:t>
      </w:r>
      <w:r w:rsidR="004F3AD4" w:rsidRPr="0008563A">
        <w:rPr>
          <w:rFonts w:ascii="Palatino Linotype" w:eastAsia="굴림" w:hAnsi="Palatino Linotype" w:cs="Times New Roman"/>
          <w:color w:val="0A0A0A"/>
          <w:kern w:val="0"/>
          <w:sz w:val="24"/>
          <w:szCs w:val="24"/>
        </w:rPr>
        <w:t xml:space="preserve">hat </w:t>
      </w:r>
      <m:oMath>
        <m:sSub>
          <m:sSubPr>
            <m:ctrlPr>
              <w:rPr>
                <w:rFonts w:ascii="Cambria Math" w:eastAsia="Times New Roman" w:hAnsi="Cambria Math" w:cs="Times New Roman"/>
                <w:i/>
                <w:iCs/>
                <w:kern w:val="0"/>
                <w:sz w:val="24"/>
                <w:szCs w:val="24"/>
                <w:lang w:val="en-GB" w:eastAsia="de-DE"/>
              </w:rPr>
            </m:ctrlPr>
          </m:sSubPr>
          <m:e>
            <m:r>
              <w:rPr>
                <w:rFonts w:ascii="Cambria Math" w:eastAsia="Times New Roman" w:hAnsi="Cambria Math" w:cs="Times New Roman"/>
                <w:kern w:val="0"/>
                <w:sz w:val="24"/>
                <w:szCs w:val="24"/>
                <w:lang w:val="en-GB" w:eastAsia="de-DE"/>
              </w:rPr>
              <m:t>J</m:t>
            </m:r>
          </m:e>
          <m:sub>
            <m:r>
              <w:rPr>
                <w:rFonts w:ascii="Cambria Math" w:eastAsia="Times New Roman" w:hAnsi="Cambria Math" w:cs="Times New Roman"/>
                <w:kern w:val="0"/>
                <w:sz w:val="24"/>
                <w:szCs w:val="24"/>
                <w:lang w:val="en-GB" w:eastAsia="de-DE"/>
              </w:rPr>
              <m:t>B</m:t>
            </m:r>
          </m:sub>
        </m:sSub>
      </m:oMath>
      <w:r w:rsidR="004F3AD4" w:rsidRPr="0008563A">
        <w:rPr>
          <w:rFonts w:ascii="Palatino Linotype" w:eastAsia="굴림" w:hAnsi="Palatino Linotype" w:cs="Times New Roman"/>
          <w:color w:val="0A0A0A"/>
          <w:kern w:val="0"/>
          <w:sz w:val="24"/>
          <w:szCs w:val="24"/>
        </w:rPr>
        <w:t xml:space="preserve"> or </w:t>
      </w:r>
      <m:oMath>
        <m:sSub>
          <m:sSubPr>
            <m:ctrlPr>
              <w:rPr>
                <w:rFonts w:ascii="Cambria Math" w:eastAsia="Times New Roman" w:hAnsi="Cambria Math" w:cs="Times New Roman"/>
                <w:i/>
                <w:iCs/>
                <w:kern w:val="0"/>
                <w:sz w:val="24"/>
                <w:szCs w:val="24"/>
                <w:lang w:val="en-GB" w:eastAsia="de-DE"/>
              </w:rPr>
            </m:ctrlPr>
          </m:sSubPr>
          <m:e>
            <m:r>
              <w:rPr>
                <w:rFonts w:ascii="Cambria Math" w:eastAsia="Times New Roman" w:hAnsi="Cambria Math" w:cs="Times New Roman"/>
                <w:kern w:val="0"/>
                <w:sz w:val="24"/>
                <w:szCs w:val="24"/>
                <w:lang w:val="en-GB" w:eastAsia="de-DE"/>
              </w:rPr>
              <m:t>J</m:t>
            </m:r>
          </m:e>
          <m:sub>
            <m:r>
              <w:rPr>
                <w:rFonts w:ascii="Cambria Math" w:eastAsia="Times New Roman" w:hAnsi="Cambria Math" w:cs="Times New Roman"/>
                <w:kern w:val="0"/>
                <w:sz w:val="24"/>
                <w:szCs w:val="24"/>
                <w:lang w:val="en-GB" w:eastAsia="de-DE"/>
              </w:rPr>
              <m:t>O</m:t>
            </m:r>
          </m:sub>
        </m:sSub>
      </m:oMath>
      <w:r w:rsidR="0008563A" w:rsidRPr="0008563A">
        <w:rPr>
          <w:rFonts w:ascii="Palatino Linotype" w:eastAsia="굴림" w:hAnsi="Palatino Linotype" w:cs="Times New Roman" w:hint="eastAsia"/>
          <w:iCs/>
          <w:kern w:val="0"/>
          <w:sz w:val="24"/>
          <w:szCs w:val="24"/>
          <w:lang w:val="en-GB"/>
        </w:rPr>
        <w:t xml:space="preserve"> </w:t>
      </w:r>
      <w:r w:rsidR="004F3AD4" w:rsidRPr="0008563A">
        <w:rPr>
          <w:rFonts w:ascii="Palatino Linotype" w:eastAsia="굴림" w:hAnsi="Palatino Linotype" w:cs="Times New Roman"/>
          <w:color w:val="0A0A0A"/>
          <w:kern w:val="0"/>
          <w:sz w:val="24"/>
          <w:szCs w:val="24"/>
        </w:rPr>
        <w:t>ha</w:t>
      </w:r>
      <w:r w:rsidR="004F3AD4" w:rsidRPr="004F3AD4">
        <w:rPr>
          <w:rFonts w:ascii="Palatino Linotype" w:eastAsia="굴림" w:hAnsi="Palatino Linotype" w:cs="Times New Roman"/>
          <w:color w:val="0A0A0A"/>
          <w:kern w:val="0"/>
          <w:sz w:val="24"/>
          <w:szCs w:val="24"/>
        </w:rPr>
        <w:t>ve been defined (I know what they are, in terms of portions of Eq 8, but others may not).</w:t>
      </w:r>
    </w:p>
    <w:p w14:paraId="787B4A64" w14:textId="2A7282B7" w:rsidR="00D25A62" w:rsidRDefault="009D0114" w:rsidP="004F3654">
      <w:pPr>
        <w:widowControl/>
        <w:wordWrap/>
        <w:autoSpaceDE/>
        <w:autoSpaceDN/>
        <w:spacing w:after="200" w:line="22" w:lineRule="atLeast"/>
        <w:rPr>
          <w:rFonts w:ascii="Palatino Linotype" w:eastAsia="Times New Roman" w:hAnsi="Palatino Linotype" w:cs="Times New Roman"/>
          <w:b/>
          <w:bCs/>
          <w:kern w:val="0"/>
          <w:sz w:val="24"/>
          <w:szCs w:val="24"/>
          <w:lang w:val="en-GB" w:eastAsia="de-DE"/>
        </w:rPr>
      </w:pPr>
      <w:r w:rsidRPr="0099212A">
        <w:rPr>
          <w:rFonts w:ascii="Palatino Linotype" w:hAnsi="Palatino Linotype" w:cs="Times New Roman"/>
          <w:b/>
          <w:bCs/>
          <w:color w:val="FF0000"/>
          <w:sz w:val="24"/>
          <w:szCs w:val="28"/>
          <w:shd w:val="clear" w:color="auto" w:fill="FFFFFF"/>
        </w:rPr>
        <w:t>Response</w:t>
      </w:r>
      <w:r w:rsidRPr="0099212A">
        <w:rPr>
          <w:rFonts w:ascii="Palatino Linotype" w:hAnsi="Palatino Linotype" w:cs="Times New Roman"/>
          <w:b/>
          <w:bCs/>
          <w:sz w:val="24"/>
          <w:szCs w:val="28"/>
          <w:shd w:val="clear" w:color="auto" w:fill="FFFFFF"/>
        </w:rPr>
        <w:t>:</w:t>
      </w:r>
      <w:r w:rsidRPr="0099212A">
        <w:rPr>
          <w:b/>
          <w:bCs/>
        </w:rPr>
        <w:t xml:space="preserve"> </w:t>
      </w:r>
      <w:r w:rsidR="0008563A" w:rsidRPr="0008563A">
        <w:rPr>
          <w:rFonts w:ascii="Palatino Linotype" w:eastAsia="Times New Roman" w:hAnsi="Palatino Linotype" w:cs="Times New Roman"/>
          <w:b/>
          <w:bCs/>
          <w:kern w:val="0"/>
          <w:sz w:val="24"/>
          <w:szCs w:val="24"/>
          <w:lang w:val="en-GB" w:eastAsia="de-DE"/>
        </w:rPr>
        <w:t>We have revised the caption of the L-curve figure in the Supplementary Information (</w:t>
      </w:r>
      <w:r w:rsidR="00EB5EC9" w:rsidRPr="00EB5EC9">
        <w:rPr>
          <w:rFonts w:ascii="Palatino Linotype" w:eastAsia="Times New Roman" w:hAnsi="Palatino Linotype" w:cs="Times New Roman"/>
          <w:b/>
          <w:bCs/>
          <w:kern w:val="0"/>
          <w:sz w:val="24"/>
          <w:szCs w:val="24"/>
          <w:lang w:val="en-GB" w:eastAsia="de-DE"/>
        </w:rPr>
        <w:t>formerly Fig. S2, now Fig. S3</w:t>
      </w:r>
      <w:r w:rsidR="0008563A" w:rsidRPr="0008563A">
        <w:rPr>
          <w:rFonts w:ascii="Palatino Linotype" w:eastAsia="Times New Roman" w:hAnsi="Palatino Linotype" w:cs="Times New Roman"/>
          <w:b/>
          <w:bCs/>
          <w:kern w:val="0"/>
          <w:sz w:val="24"/>
          <w:szCs w:val="24"/>
          <w:lang w:val="en-GB" w:eastAsia="de-DE"/>
        </w:rPr>
        <w:t>) to explicitly define</w:t>
      </w:r>
      <w:r w:rsidR="0008563A" w:rsidRPr="0008563A">
        <w:rPr>
          <w:rFonts w:ascii="Palatino Linotype" w:hAnsi="Palatino Linotype" w:cs="Times New Roman" w:hint="eastAsia"/>
          <w:b/>
          <w:bCs/>
          <w:kern w:val="0"/>
          <w:sz w:val="24"/>
          <w:szCs w:val="24"/>
          <w:lang w:val="en-GB"/>
        </w:rPr>
        <w:t xml:space="preserve"> </w:t>
      </w:r>
      <m:oMath>
        <m:sSub>
          <m:sSubPr>
            <m:ctrlPr>
              <w:rPr>
                <w:rFonts w:ascii="Cambria Math" w:eastAsia="Times New Roman" w:hAnsi="Cambria Math" w:cs="Times New Roman"/>
                <w:b/>
                <w:bCs/>
                <w:i/>
                <w:iCs/>
                <w:kern w:val="0"/>
                <w:sz w:val="24"/>
                <w:szCs w:val="24"/>
                <w:lang w:val="en-GB" w:eastAsia="de-DE"/>
              </w:rPr>
            </m:ctrlPr>
          </m:sSubPr>
          <m:e>
            <m:r>
              <m:rPr>
                <m:sty m:val="bi"/>
              </m:rPr>
              <w:rPr>
                <w:rFonts w:ascii="Cambria Math" w:eastAsia="Times New Roman" w:hAnsi="Cambria Math" w:cs="Times New Roman"/>
                <w:kern w:val="0"/>
                <w:sz w:val="24"/>
                <w:szCs w:val="24"/>
                <w:lang w:val="en-GB" w:eastAsia="de-DE"/>
              </w:rPr>
              <m:t>J</m:t>
            </m:r>
          </m:e>
          <m:sub>
            <m:r>
              <m:rPr>
                <m:sty m:val="bi"/>
              </m:rPr>
              <w:rPr>
                <w:rFonts w:ascii="Cambria Math" w:eastAsia="Times New Roman" w:hAnsi="Cambria Math" w:cs="Times New Roman"/>
                <w:kern w:val="0"/>
                <w:sz w:val="24"/>
                <w:szCs w:val="24"/>
                <w:lang w:val="en-GB" w:eastAsia="de-DE"/>
              </w:rPr>
              <m:t>B</m:t>
            </m:r>
          </m:sub>
        </m:sSub>
      </m:oMath>
      <w:r w:rsidR="0008563A" w:rsidRPr="0008563A">
        <w:rPr>
          <w:rFonts w:ascii="Palatino Linotype" w:hAnsi="Palatino Linotype" w:cs="Times New Roman" w:hint="eastAsia"/>
          <w:b/>
          <w:bCs/>
          <w:iCs/>
          <w:kern w:val="0"/>
          <w:sz w:val="24"/>
          <w:szCs w:val="24"/>
          <w:lang w:val="en-GB"/>
        </w:rPr>
        <w:t xml:space="preserve"> </w:t>
      </w:r>
      <w:r w:rsidR="0008563A" w:rsidRPr="0008563A">
        <w:rPr>
          <w:rFonts w:ascii="Palatino Linotype" w:eastAsia="Times New Roman" w:hAnsi="Palatino Linotype" w:cs="Times New Roman"/>
          <w:b/>
          <w:bCs/>
          <w:kern w:val="0"/>
          <w:sz w:val="24"/>
          <w:szCs w:val="24"/>
          <w:lang w:val="en-GB" w:eastAsia="de-DE"/>
        </w:rPr>
        <w:t xml:space="preserve">as the background penalty term and </w:t>
      </w:r>
      <m:oMath>
        <m:sSub>
          <m:sSubPr>
            <m:ctrlPr>
              <w:rPr>
                <w:rFonts w:ascii="Cambria Math" w:eastAsia="Times New Roman" w:hAnsi="Cambria Math" w:cs="Times New Roman"/>
                <w:b/>
                <w:bCs/>
                <w:i/>
                <w:iCs/>
                <w:kern w:val="0"/>
                <w:sz w:val="24"/>
                <w:szCs w:val="24"/>
                <w:lang w:val="en-GB" w:eastAsia="de-DE"/>
              </w:rPr>
            </m:ctrlPr>
          </m:sSubPr>
          <m:e>
            <m:r>
              <m:rPr>
                <m:sty m:val="bi"/>
              </m:rPr>
              <w:rPr>
                <w:rFonts w:ascii="Cambria Math" w:eastAsia="Times New Roman" w:hAnsi="Cambria Math" w:cs="Times New Roman"/>
                <w:kern w:val="0"/>
                <w:sz w:val="24"/>
                <w:szCs w:val="24"/>
                <w:lang w:val="en-GB" w:eastAsia="de-DE"/>
              </w:rPr>
              <m:t>J</m:t>
            </m:r>
          </m:e>
          <m:sub>
            <m:r>
              <m:rPr>
                <m:sty m:val="bi"/>
              </m:rPr>
              <w:rPr>
                <w:rFonts w:ascii="Cambria Math" w:eastAsia="Times New Roman" w:hAnsi="Cambria Math" w:cs="Times New Roman"/>
                <w:kern w:val="0"/>
                <w:sz w:val="24"/>
                <w:szCs w:val="24"/>
                <w:lang w:val="en-GB" w:eastAsia="de-DE"/>
              </w:rPr>
              <m:t>O</m:t>
            </m:r>
          </m:sub>
        </m:sSub>
      </m:oMath>
      <w:r w:rsidR="0008563A" w:rsidRPr="0008563A">
        <w:rPr>
          <w:rFonts w:ascii="Palatino Linotype" w:eastAsia="Times New Roman" w:hAnsi="Palatino Linotype" w:cs="Times New Roman"/>
          <w:b/>
          <w:bCs/>
          <w:kern w:val="0"/>
          <w:sz w:val="24"/>
          <w:szCs w:val="24"/>
          <w:lang w:val="en-GB" w:eastAsia="de-DE"/>
        </w:rPr>
        <w:t xml:space="preserve"> as the observation penalty term corresponding to Eq. (8).</w:t>
      </w:r>
    </w:p>
    <w:p w14:paraId="6A3308AD" w14:textId="2F619CDF" w:rsidR="00A77376" w:rsidRPr="00A77376" w:rsidRDefault="00A77376" w:rsidP="00A77376">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sidR="008C0706">
        <w:rPr>
          <w:rFonts w:ascii="Palatino Linotype" w:hAnsi="Palatino Linotype" w:cs="Times New Roman"/>
          <w:i/>
          <w:color w:val="0A0A0A"/>
          <w:sz w:val="24"/>
          <w:szCs w:val="24"/>
          <w:shd w:val="clear" w:color="auto" w:fill="FEFEFE"/>
        </w:rPr>
        <w:t>The c</w:t>
      </w:r>
      <w:r>
        <w:rPr>
          <w:rFonts w:ascii="Palatino Linotype" w:hAnsi="Palatino Linotype" w:cs="Times New Roman"/>
          <w:i/>
          <w:color w:val="0A0A0A"/>
          <w:sz w:val="24"/>
          <w:szCs w:val="24"/>
          <w:shd w:val="clear" w:color="auto" w:fill="FEFEFE"/>
        </w:rPr>
        <w:t>aption of Fig</w:t>
      </w:r>
      <w:r w:rsidR="002A60EE">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 xml:space="preserve"> S</w:t>
      </w:r>
      <w:r w:rsidR="00EB248D">
        <w:rPr>
          <w:rFonts w:ascii="Palatino Linotype" w:hAnsi="Palatino Linotype" w:cs="Times New Roman"/>
          <w:i/>
          <w:color w:val="0A0A0A"/>
          <w:sz w:val="24"/>
          <w:szCs w:val="24"/>
          <w:shd w:val="clear" w:color="auto" w:fill="FEFEFE"/>
        </w:rPr>
        <w:t>2(</w:t>
      </w:r>
      <w:r w:rsidR="00EB248D" w:rsidRPr="00EB248D">
        <w:rPr>
          <w:rFonts w:ascii="Palatino Linotype" w:hAnsi="Palatino Linotype" w:cs="Times New Roman"/>
          <w:i/>
          <w:color w:val="0A0A0A"/>
          <w:sz w:val="24"/>
          <w:szCs w:val="24"/>
          <w:shd w:val="clear" w:color="auto" w:fill="FEFEFE"/>
        </w:rPr>
        <w:t>now shown as Fig. S3</w:t>
      </w:r>
      <w:r w:rsidR="00EB248D">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 xml:space="preserve"> </w:t>
      </w:r>
      <w:r w:rsidRPr="00964E09">
        <w:rPr>
          <w:rFonts w:ascii="Palatino Linotype" w:hAnsi="Palatino Linotype" w:cs="Times New Roman"/>
          <w:i/>
          <w:color w:val="0A0A0A"/>
          <w:sz w:val="24"/>
          <w:szCs w:val="24"/>
          <w:shd w:val="clear" w:color="auto" w:fill="FEFEFE"/>
        </w:rPr>
        <w:t>in the revised manuscript&gt;</w:t>
      </w:r>
    </w:p>
    <w:p w14:paraId="30DC2F72" w14:textId="3CE7F5EE" w:rsidR="00D25A62" w:rsidRPr="00D25A62" w:rsidRDefault="00D25A62" w:rsidP="004F3654">
      <w:pPr>
        <w:widowControl/>
        <w:wordWrap/>
        <w:autoSpaceDE/>
        <w:autoSpaceDN/>
        <w:spacing w:after="200" w:line="22" w:lineRule="atLeast"/>
        <w:rPr>
          <w:rFonts w:ascii="Palatino Linotype" w:eastAsia="Times New Roman" w:hAnsi="Palatino Linotype" w:cs="Times New Roman"/>
          <w:i/>
          <w:iCs/>
          <w:kern w:val="0"/>
          <w:sz w:val="24"/>
          <w:szCs w:val="24"/>
          <w:lang w:val="en-GB" w:eastAsia="de-DE"/>
        </w:rPr>
      </w:pPr>
      <w:r w:rsidRPr="00D25A62">
        <w:rPr>
          <w:rFonts w:ascii="Palatino Linotype" w:eastAsia="Times New Roman" w:hAnsi="Palatino Linotype" w:cs="Times New Roman"/>
          <w:i/>
          <w:iCs/>
          <w:kern w:val="0"/>
          <w:sz w:val="24"/>
          <w:szCs w:val="24"/>
          <w:lang w:val="en-GB" w:eastAsia="de-DE"/>
        </w:rPr>
        <w:t>Figure S3: Results of the L-curve test and emission NME [%] used to determine the optimal regularization parameter (</w:t>
      </w:r>
      <m:oMath>
        <m:r>
          <w:rPr>
            <w:rFonts w:ascii="Cambria Math" w:eastAsia="Times New Roman" w:hAnsi="Cambria Math" w:cs="Times New Roman"/>
            <w:kern w:val="0"/>
            <w:sz w:val="24"/>
            <w:szCs w:val="24"/>
            <w:lang w:val="en-GB" w:eastAsia="de-DE"/>
          </w:rPr>
          <m:t>γ</m:t>
        </m:r>
      </m:oMath>
      <w:r w:rsidRPr="00D25A62">
        <w:rPr>
          <w:rFonts w:ascii="Palatino Linotype" w:eastAsia="Times New Roman" w:hAnsi="Palatino Linotype" w:cs="Times New Roman"/>
          <w:i/>
          <w:iCs/>
          <w:kern w:val="0"/>
          <w:sz w:val="24"/>
          <w:szCs w:val="24"/>
          <w:lang w:val="en-GB" w:eastAsia="de-DE"/>
        </w:rPr>
        <w:t xml:space="preserve">) for the 4D-Var inverse modeling. </w:t>
      </w:r>
      <m:oMath>
        <m:sSub>
          <m:sSubPr>
            <m:ctrlPr>
              <w:rPr>
                <w:rFonts w:ascii="Cambria Math" w:eastAsia="Times New Roman" w:hAnsi="Cambria Math" w:cs="Times New Roman"/>
                <w:i/>
                <w:iCs/>
                <w:kern w:val="0"/>
                <w:sz w:val="24"/>
                <w:szCs w:val="24"/>
                <w:lang w:val="en-GB" w:eastAsia="de-DE"/>
              </w:rPr>
            </m:ctrlPr>
          </m:sSubPr>
          <m:e>
            <m:r>
              <w:rPr>
                <w:rFonts w:ascii="Cambria Math" w:eastAsia="Times New Roman" w:hAnsi="Cambria Math" w:cs="Times New Roman"/>
                <w:kern w:val="0"/>
                <w:sz w:val="24"/>
                <w:szCs w:val="24"/>
                <w:lang w:val="en-GB" w:eastAsia="de-DE"/>
              </w:rPr>
              <m:t>J</m:t>
            </m:r>
          </m:e>
          <m:sub>
            <m:r>
              <w:rPr>
                <w:rFonts w:ascii="Cambria Math" w:eastAsia="Times New Roman" w:hAnsi="Cambria Math" w:cs="Times New Roman"/>
                <w:kern w:val="0"/>
                <w:sz w:val="24"/>
                <w:szCs w:val="24"/>
                <w:lang w:val="en-GB" w:eastAsia="de-DE"/>
              </w:rPr>
              <m:t>B</m:t>
            </m:r>
          </m:sub>
        </m:sSub>
      </m:oMath>
      <w:r w:rsidRPr="00D25A62">
        <w:rPr>
          <w:rFonts w:ascii="Palatino Linotype" w:eastAsia="바탕" w:hAnsi="Palatino Linotype" w:cs="Times New Roman"/>
          <w:i/>
          <w:iCs/>
          <w:kern w:val="0"/>
          <w:sz w:val="24"/>
          <w:szCs w:val="24"/>
          <w:lang w:val="en-GB"/>
        </w:rPr>
        <w:t xml:space="preserve"> </w:t>
      </w:r>
      <w:r w:rsidRPr="00D25A62">
        <w:rPr>
          <w:rFonts w:ascii="Palatino Linotype" w:eastAsia="Times New Roman" w:hAnsi="Palatino Linotype" w:cs="Times New Roman"/>
          <w:i/>
          <w:iCs/>
          <w:kern w:val="0"/>
          <w:sz w:val="24"/>
          <w:szCs w:val="24"/>
          <w:lang w:val="en-GB" w:eastAsia="de-DE"/>
        </w:rPr>
        <w:t xml:space="preserve">represents the background penalty term (the first term on the right-hand side of Eq. (8)) and </w:t>
      </w:r>
      <m:oMath>
        <m:sSub>
          <m:sSubPr>
            <m:ctrlPr>
              <w:rPr>
                <w:rFonts w:ascii="Cambria Math" w:eastAsia="Times New Roman" w:hAnsi="Cambria Math" w:cs="Times New Roman"/>
                <w:i/>
                <w:iCs/>
                <w:kern w:val="0"/>
                <w:sz w:val="24"/>
                <w:szCs w:val="24"/>
                <w:lang w:val="en-GB" w:eastAsia="de-DE"/>
              </w:rPr>
            </m:ctrlPr>
          </m:sSubPr>
          <m:e>
            <m:r>
              <w:rPr>
                <w:rFonts w:ascii="Cambria Math" w:eastAsia="Times New Roman" w:hAnsi="Cambria Math" w:cs="Times New Roman"/>
                <w:kern w:val="0"/>
                <w:sz w:val="24"/>
                <w:szCs w:val="24"/>
                <w:lang w:val="en-GB" w:eastAsia="de-DE"/>
              </w:rPr>
              <m:t>J</m:t>
            </m:r>
          </m:e>
          <m:sub>
            <m:r>
              <w:rPr>
                <w:rFonts w:ascii="Cambria Math" w:eastAsia="Times New Roman" w:hAnsi="Cambria Math" w:cs="Times New Roman"/>
                <w:kern w:val="0"/>
                <w:sz w:val="24"/>
                <w:szCs w:val="24"/>
                <w:lang w:val="en-GB" w:eastAsia="de-DE"/>
              </w:rPr>
              <m:t>O</m:t>
            </m:r>
          </m:sub>
        </m:sSub>
      </m:oMath>
      <w:r w:rsidRPr="00D25A62">
        <w:rPr>
          <w:rFonts w:ascii="Palatino Linotype" w:eastAsia="바탕" w:hAnsi="Palatino Linotype" w:cs="Times New Roman"/>
          <w:i/>
          <w:iCs/>
          <w:kern w:val="0"/>
          <w:sz w:val="24"/>
          <w:szCs w:val="24"/>
          <w:lang w:val="en-GB"/>
        </w:rPr>
        <w:t xml:space="preserve"> </w:t>
      </w:r>
      <w:r w:rsidRPr="00D25A62">
        <w:rPr>
          <w:rFonts w:ascii="Palatino Linotype" w:eastAsia="Times New Roman" w:hAnsi="Palatino Linotype" w:cs="Times New Roman"/>
          <w:i/>
          <w:iCs/>
          <w:kern w:val="0"/>
          <w:sz w:val="24"/>
          <w:szCs w:val="24"/>
          <w:lang w:val="en-GB" w:eastAsia="de-DE"/>
        </w:rPr>
        <w:t xml:space="preserve">represents the observation penalty term (the second term on the right-hand side of Eq. (8)). The test was performed for </w:t>
      </w:r>
      <m:oMath>
        <m:r>
          <w:rPr>
            <w:rFonts w:ascii="Cambria Math" w:eastAsia="Times New Roman" w:hAnsi="Cambria Math" w:cs="Times New Roman"/>
            <w:kern w:val="0"/>
            <w:sz w:val="24"/>
            <w:szCs w:val="24"/>
            <w:lang w:val="en-GB" w:eastAsia="de-DE"/>
          </w:rPr>
          <m:t>γ</m:t>
        </m:r>
      </m:oMath>
      <w:r w:rsidRPr="00D25A62">
        <w:rPr>
          <w:rFonts w:ascii="Palatino Linotype" w:eastAsia="Times New Roman" w:hAnsi="Palatino Linotype" w:cs="Times New Roman"/>
          <w:i/>
          <w:iCs/>
          <w:kern w:val="0"/>
          <w:sz w:val="24"/>
          <w:szCs w:val="24"/>
          <w:lang w:val="en-GB" w:eastAsia="de-DE"/>
        </w:rPr>
        <w:t xml:space="preserve"> values of 0.001, 0.01, 0.1, 1, 10, 100, and 1000, based on the simulation for 1 May 2022. The optimal value was determined to be </w:t>
      </w:r>
      <m:oMath>
        <m:r>
          <w:rPr>
            <w:rFonts w:ascii="Cambria Math" w:eastAsia="Times New Roman" w:hAnsi="Cambria Math" w:cs="Times New Roman"/>
            <w:kern w:val="0"/>
            <w:sz w:val="24"/>
            <w:szCs w:val="24"/>
            <w:lang w:val="en-GB" w:eastAsia="de-DE"/>
          </w:rPr>
          <m:t>γ=10</m:t>
        </m:r>
      </m:oMath>
      <w:r w:rsidRPr="00D25A62">
        <w:rPr>
          <w:rFonts w:ascii="Palatino Linotype" w:eastAsia="Times New Roman" w:hAnsi="Palatino Linotype" w:cs="Times New Roman"/>
          <w:i/>
          <w:iCs/>
          <w:kern w:val="0"/>
          <w:sz w:val="24"/>
          <w:szCs w:val="24"/>
          <w:lang w:val="en-GB" w:eastAsia="de-DE"/>
        </w:rPr>
        <w:t>.</w:t>
      </w:r>
    </w:p>
    <w:p w14:paraId="06CCDA51" w14:textId="77777777" w:rsidR="00D25834" w:rsidRPr="00D25834" w:rsidRDefault="00D25834" w:rsidP="00D25834">
      <w:pPr>
        <w:widowControl/>
        <w:wordWrap/>
        <w:autoSpaceDE/>
        <w:autoSpaceDN/>
        <w:rPr>
          <w:rFonts w:ascii="Palatino Linotype" w:eastAsia="굴림" w:hAnsi="Palatino Linotype" w:cs="Times New Roman"/>
          <w:color w:val="0A0A0A"/>
          <w:kern w:val="0"/>
          <w:sz w:val="24"/>
          <w:szCs w:val="24"/>
        </w:rPr>
      </w:pPr>
    </w:p>
    <w:p w14:paraId="7BDFFC4F" w14:textId="24C1C3FF"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10</w:t>
      </w:r>
      <w:r>
        <w:rPr>
          <w:rFonts w:ascii="Palatino Linotype" w:eastAsia="굴림" w:hAnsi="Palatino Linotype" w:cs="Times New Roman"/>
          <w:color w:val="0A0A0A"/>
          <w:kern w:val="0"/>
          <w:sz w:val="24"/>
          <w:szCs w:val="24"/>
        </w:rPr>
        <w:t xml:space="preserve">: </w:t>
      </w:r>
      <w:r w:rsidR="004F3AD4" w:rsidRPr="004F3AD4">
        <w:rPr>
          <w:rFonts w:ascii="Palatino Linotype" w:eastAsia="굴림" w:hAnsi="Palatino Linotype" w:cs="Times New Roman"/>
          <w:color w:val="0A0A0A"/>
          <w:kern w:val="0"/>
          <w:sz w:val="24"/>
          <w:szCs w:val="24"/>
        </w:rPr>
        <w:t>210: I don’t disagree that most studies have focused on a single species; however, there are many that have conducted joint inversions of NO</w:t>
      </w:r>
      <w:r w:rsidR="004F3AD4" w:rsidRPr="00933063">
        <w:rPr>
          <w:rFonts w:ascii="Palatino Linotype" w:eastAsia="굴림" w:hAnsi="Palatino Linotype" w:cs="Times New Roman"/>
          <w:color w:val="0A0A0A"/>
          <w:kern w:val="0"/>
          <w:sz w:val="24"/>
          <w:szCs w:val="24"/>
          <w:vertAlign w:val="subscript"/>
        </w:rPr>
        <w:t>x</w:t>
      </w:r>
      <w:r w:rsidR="004F3AD4" w:rsidRPr="004F3AD4">
        <w:rPr>
          <w:rFonts w:ascii="Palatino Linotype" w:eastAsia="굴림" w:hAnsi="Palatino Linotype" w:cs="Times New Roman"/>
          <w:color w:val="0A0A0A"/>
          <w:kern w:val="0"/>
          <w:sz w:val="24"/>
          <w:szCs w:val="24"/>
        </w:rPr>
        <w:t xml:space="preserve"> along with other species, such as VOCs, CO, NH</w:t>
      </w:r>
      <w:r w:rsidR="004F3AD4" w:rsidRPr="00933063">
        <w:rPr>
          <w:rFonts w:ascii="Palatino Linotype" w:eastAsia="굴림" w:hAnsi="Palatino Linotype" w:cs="Times New Roman"/>
          <w:color w:val="0A0A0A"/>
          <w:kern w:val="0"/>
          <w:sz w:val="24"/>
          <w:szCs w:val="24"/>
          <w:vertAlign w:val="subscript"/>
        </w:rPr>
        <w:t>3</w:t>
      </w:r>
      <w:r w:rsidR="004F3AD4" w:rsidRPr="004F3AD4">
        <w:rPr>
          <w:rFonts w:ascii="Palatino Linotype" w:eastAsia="굴림" w:hAnsi="Palatino Linotype" w:cs="Times New Roman"/>
          <w:color w:val="0A0A0A"/>
          <w:kern w:val="0"/>
          <w:sz w:val="24"/>
          <w:szCs w:val="24"/>
        </w:rPr>
        <w:t>, SO</w:t>
      </w:r>
      <w:r w:rsidR="004F3AD4" w:rsidRPr="00933063">
        <w:rPr>
          <w:rFonts w:ascii="Palatino Linotype" w:eastAsia="굴림" w:hAnsi="Palatino Linotype" w:cs="Times New Roman"/>
          <w:color w:val="0A0A0A"/>
          <w:kern w:val="0"/>
          <w:sz w:val="24"/>
          <w:szCs w:val="24"/>
          <w:vertAlign w:val="subscript"/>
        </w:rPr>
        <w:t>2</w:t>
      </w:r>
      <w:r w:rsidR="004F3AD4" w:rsidRPr="004F3AD4">
        <w:rPr>
          <w:rFonts w:ascii="Palatino Linotype" w:eastAsia="굴림" w:hAnsi="Palatino Linotype" w:cs="Times New Roman"/>
          <w:color w:val="0A0A0A"/>
          <w:kern w:val="0"/>
          <w:sz w:val="24"/>
          <w:szCs w:val="24"/>
        </w:rPr>
        <w:t xml:space="preserve">…. Some attention to the literature in </w:t>
      </w:r>
      <w:proofErr w:type="gramStart"/>
      <w:r w:rsidR="004F3AD4" w:rsidRPr="004F3AD4">
        <w:rPr>
          <w:rFonts w:ascii="Palatino Linotype" w:eastAsia="굴림" w:hAnsi="Palatino Linotype" w:cs="Times New Roman"/>
          <w:color w:val="0A0A0A"/>
          <w:kern w:val="0"/>
          <w:sz w:val="24"/>
          <w:szCs w:val="24"/>
        </w:rPr>
        <w:t>this regards</w:t>
      </w:r>
      <w:proofErr w:type="gramEnd"/>
      <w:r w:rsidR="004F3AD4" w:rsidRPr="004F3AD4">
        <w:rPr>
          <w:rFonts w:ascii="Palatino Linotype" w:eastAsia="굴림" w:hAnsi="Palatino Linotype" w:cs="Times New Roman"/>
          <w:color w:val="0A0A0A"/>
          <w:kern w:val="0"/>
          <w:sz w:val="24"/>
          <w:szCs w:val="24"/>
        </w:rPr>
        <w:t xml:space="preserve"> is warranted.</w:t>
      </w:r>
    </w:p>
    <w:p w14:paraId="5ADF6D51" w14:textId="433A3AD3" w:rsidR="00D25834" w:rsidRDefault="00933063" w:rsidP="00D25834">
      <w:pPr>
        <w:widowControl/>
        <w:wordWrap/>
        <w:autoSpaceDE/>
        <w:autoSpaceDN/>
        <w:rPr>
          <w:rFonts w:ascii="Palatino Linotype" w:eastAsia="굴림" w:hAnsi="Palatino Linotype" w:cs="Times New Roman"/>
          <w:b/>
          <w:bCs/>
          <w:color w:val="0A0A0A"/>
          <w:kern w:val="0"/>
          <w:sz w:val="24"/>
          <w:szCs w:val="24"/>
        </w:rPr>
      </w:pPr>
      <w:r w:rsidRPr="0099212A">
        <w:rPr>
          <w:rFonts w:ascii="Palatino Linotype" w:hAnsi="Palatino Linotype" w:cs="Times New Roman"/>
          <w:b/>
          <w:bCs/>
          <w:color w:val="FF0000"/>
          <w:sz w:val="24"/>
          <w:szCs w:val="28"/>
          <w:shd w:val="clear" w:color="auto" w:fill="FFFFFF"/>
        </w:rPr>
        <w:t>Response</w:t>
      </w:r>
      <w:r w:rsidRPr="0099212A">
        <w:rPr>
          <w:rFonts w:ascii="Palatino Linotype" w:hAnsi="Palatino Linotype" w:cs="Times New Roman"/>
          <w:b/>
          <w:bCs/>
          <w:sz w:val="24"/>
          <w:szCs w:val="28"/>
          <w:shd w:val="clear" w:color="auto" w:fill="FFFFFF"/>
        </w:rPr>
        <w:t>:</w:t>
      </w:r>
      <w:r w:rsidRPr="0099212A">
        <w:rPr>
          <w:b/>
          <w:bCs/>
        </w:rPr>
        <w:t xml:space="preserve"> </w:t>
      </w:r>
      <w:r w:rsidRPr="00933063">
        <w:rPr>
          <w:rFonts w:ascii="Palatino Linotype" w:eastAsia="굴림" w:hAnsi="Palatino Linotype" w:cs="Times New Roman"/>
          <w:b/>
          <w:bCs/>
          <w:color w:val="0A0A0A"/>
          <w:kern w:val="0"/>
          <w:sz w:val="24"/>
          <w:szCs w:val="24"/>
        </w:rPr>
        <w:t>We thank the reviewer for pointing this out and apologize for the ambiguity in our wording. The phrase "previous studies" was not intended to generalize the entire literature, but rather to refer specifically to our own previous framework (Moon et al., 2024), which focused on single-species (</w:t>
      </w:r>
      <w:r>
        <w:rPr>
          <w:rFonts w:ascii="Palatino Linotype" w:eastAsia="굴림" w:hAnsi="Palatino Linotype" w:cs="Times New Roman"/>
          <w:b/>
          <w:bCs/>
          <w:color w:val="0A0A0A"/>
          <w:kern w:val="0"/>
          <w:sz w:val="24"/>
          <w:szCs w:val="24"/>
        </w:rPr>
        <w:t>NO</w:t>
      </w:r>
      <w:r w:rsidRPr="00933063">
        <w:rPr>
          <w:rFonts w:ascii="Palatino Linotype" w:eastAsia="굴림" w:hAnsi="Palatino Linotype" w:cs="Times New Roman"/>
          <w:b/>
          <w:bCs/>
          <w:color w:val="0A0A0A"/>
          <w:kern w:val="0"/>
          <w:sz w:val="24"/>
          <w:szCs w:val="24"/>
          <w:vertAlign w:val="subscript"/>
        </w:rPr>
        <w:t>2</w:t>
      </w:r>
      <w:r w:rsidRPr="00933063">
        <w:rPr>
          <w:rFonts w:ascii="Palatino Linotype" w:eastAsia="굴림" w:hAnsi="Palatino Linotype" w:cs="Times New Roman"/>
          <w:b/>
          <w:bCs/>
          <w:color w:val="0A0A0A"/>
          <w:kern w:val="0"/>
          <w:sz w:val="24"/>
          <w:szCs w:val="24"/>
        </w:rPr>
        <w:t>) corrections. We fully agree that many excellent studies in the field have successfully conducted joint inversions of multiple species. To clarify our original intent and avoid any overgeneralization, we have revised the sentence accordingly.</w:t>
      </w:r>
    </w:p>
    <w:p w14:paraId="2B686803" w14:textId="0466EE9F" w:rsidR="002A60EE" w:rsidRPr="002A60EE" w:rsidRDefault="002A60EE" w:rsidP="002A60EE">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2.3.</w:t>
      </w:r>
      <w:r w:rsidR="00D9287B">
        <w:rPr>
          <w:rFonts w:ascii="Palatino Linotype" w:hAnsi="Palatino Linotype" w:cs="Times New Roman"/>
          <w:i/>
          <w:color w:val="0A0A0A"/>
          <w:sz w:val="24"/>
          <w:szCs w:val="24"/>
          <w:shd w:val="clear" w:color="auto" w:fill="FEFEFE"/>
        </w:rPr>
        <w:t>3</w:t>
      </w:r>
      <w:r>
        <w:rPr>
          <w:rFonts w:ascii="Palatino Linotype" w:hAnsi="Palatino Linotype" w:cs="Times New Roman"/>
          <w:i/>
          <w:color w:val="0A0A0A"/>
          <w:sz w:val="24"/>
          <w:szCs w:val="24"/>
          <w:shd w:val="clear" w:color="auto" w:fill="FEFEFE"/>
        </w:rPr>
        <w:t xml:space="preserve"> </w:t>
      </w:r>
      <w:r w:rsidRPr="00964E09">
        <w:rPr>
          <w:rFonts w:ascii="Palatino Linotype" w:hAnsi="Palatino Linotype" w:cs="Times New Roman"/>
          <w:i/>
          <w:color w:val="0A0A0A"/>
          <w:sz w:val="24"/>
          <w:szCs w:val="24"/>
          <w:shd w:val="clear" w:color="auto" w:fill="FEFEFE"/>
        </w:rPr>
        <w:t>in the revised manuscript&gt;</w:t>
      </w:r>
    </w:p>
    <w:p w14:paraId="0724F7E5" w14:textId="482D311B" w:rsidR="00933063" w:rsidRPr="00A360E2" w:rsidRDefault="00FD3A8D" w:rsidP="00D25834">
      <w:pPr>
        <w:widowControl/>
        <w:wordWrap/>
        <w:autoSpaceDE/>
        <w:autoSpaceDN/>
        <w:rPr>
          <w:rFonts w:ascii="Palatino Linotype" w:eastAsia="굴림" w:hAnsi="Palatino Linotype" w:cs="Times New Roman"/>
          <w:i/>
          <w:iCs/>
          <w:color w:val="0A0A0A"/>
          <w:kern w:val="0"/>
          <w:sz w:val="32"/>
          <w:szCs w:val="32"/>
        </w:rPr>
      </w:pPr>
      <w:r w:rsidRPr="00FD3A8D">
        <w:rPr>
          <w:rFonts w:ascii="Palatino Linotype" w:hAnsi="Palatino Linotype"/>
          <w:i/>
          <w:iCs/>
          <w:sz w:val="24"/>
          <w:szCs w:val="28"/>
        </w:rPr>
        <w:t>While the original framework</w:t>
      </w:r>
      <w:r w:rsidR="00614CB9" w:rsidRPr="00614CB9">
        <w:t xml:space="preserve"> </w:t>
      </w:r>
      <w:r w:rsidR="00614CB9" w:rsidRPr="00614CB9">
        <w:rPr>
          <w:rFonts w:ascii="Palatino Linotype" w:hAnsi="Palatino Linotype"/>
          <w:i/>
          <w:iCs/>
          <w:sz w:val="24"/>
          <w:szCs w:val="28"/>
        </w:rPr>
        <w:t>primarily</w:t>
      </w:r>
      <w:r w:rsidR="00A360E2" w:rsidRPr="00A360E2">
        <w:rPr>
          <w:rFonts w:ascii="Palatino Linotype" w:hAnsi="Palatino Linotype"/>
          <w:i/>
          <w:iCs/>
          <w:sz w:val="24"/>
          <w:szCs w:val="28"/>
        </w:rPr>
        <w:t xml:space="preserve"> focused on single-species corrections such as NO</w:t>
      </w:r>
      <w:r w:rsidR="00A360E2" w:rsidRPr="00A360E2">
        <w:rPr>
          <w:rFonts w:ascii="Palatino Linotype" w:hAnsi="Palatino Linotype"/>
          <w:i/>
          <w:iCs/>
          <w:sz w:val="24"/>
          <w:szCs w:val="28"/>
          <w:vertAlign w:val="subscript"/>
        </w:rPr>
        <w:t>2</w:t>
      </w:r>
      <w:r w:rsidR="00A360E2" w:rsidRPr="00A360E2">
        <w:rPr>
          <w:rFonts w:ascii="Palatino Linotype" w:hAnsi="Palatino Linotype"/>
          <w:i/>
          <w:iCs/>
          <w:sz w:val="24"/>
          <w:szCs w:val="28"/>
        </w:rPr>
        <w:t>, we extended the approach to jointly optimize both NO</w:t>
      </w:r>
      <w:r w:rsidR="00A360E2" w:rsidRPr="00A360E2">
        <w:rPr>
          <w:rFonts w:ascii="Palatino Linotype" w:hAnsi="Palatino Linotype"/>
          <w:i/>
          <w:iCs/>
          <w:sz w:val="24"/>
          <w:szCs w:val="28"/>
          <w:vertAlign w:val="subscript"/>
        </w:rPr>
        <w:t>x</w:t>
      </w:r>
      <w:r w:rsidR="00A360E2" w:rsidRPr="00A360E2">
        <w:rPr>
          <w:rFonts w:ascii="Palatino Linotype" w:hAnsi="Palatino Linotype"/>
          <w:i/>
          <w:iCs/>
          <w:sz w:val="24"/>
          <w:szCs w:val="28"/>
        </w:rPr>
        <w:t xml:space="preserve"> and VOC emissions to better represent the nonlinear photochemical processes governing O</w:t>
      </w:r>
      <w:r w:rsidR="00A360E2" w:rsidRPr="00A360E2">
        <w:rPr>
          <w:rFonts w:ascii="Palatino Linotype" w:hAnsi="Palatino Linotype"/>
          <w:i/>
          <w:iCs/>
          <w:sz w:val="24"/>
          <w:szCs w:val="28"/>
          <w:vertAlign w:val="subscript"/>
        </w:rPr>
        <w:t>3</w:t>
      </w:r>
      <w:r w:rsidR="00A360E2" w:rsidRPr="00A360E2">
        <w:rPr>
          <w:rFonts w:ascii="Palatino Linotype" w:hAnsi="Palatino Linotype"/>
          <w:i/>
          <w:iCs/>
          <w:sz w:val="24"/>
          <w:szCs w:val="28"/>
        </w:rPr>
        <w:t xml:space="preserve"> formation.</w:t>
      </w:r>
    </w:p>
    <w:p w14:paraId="27309DE7" w14:textId="7D32FE66" w:rsidR="00A24519" w:rsidRDefault="00A24519">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48D7FDCA" w14:textId="30C40C81" w:rsid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11</w:t>
      </w:r>
      <w:r>
        <w:rPr>
          <w:rFonts w:ascii="Palatino Linotype" w:eastAsia="굴림" w:hAnsi="Palatino Linotype" w:cs="Times New Roman"/>
          <w:color w:val="0A0A0A"/>
          <w:kern w:val="0"/>
          <w:sz w:val="24"/>
          <w:szCs w:val="24"/>
        </w:rPr>
        <w:t xml:space="preserve">: </w:t>
      </w:r>
      <w:r w:rsidR="00B5082A" w:rsidRPr="00B5082A">
        <w:rPr>
          <w:rFonts w:ascii="Palatino Linotype" w:eastAsia="굴림" w:hAnsi="Palatino Linotype" w:cs="Times New Roman"/>
          <w:color w:val="0A0A0A"/>
          <w:kern w:val="0"/>
          <w:sz w:val="24"/>
          <w:szCs w:val="24"/>
        </w:rPr>
        <w:t xml:space="preserve">Fig 3: Within 4D-Var, the flowchart doesn’t make too much sense to me. I would think that it should be CMAQ </w:t>
      </w:r>
      <w:proofErr w:type="spellStart"/>
      <w:r w:rsidR="00B5082A" w:rsidRPr="00B5082A">
        <w:rPr>
          <w:rFonts w:ascii="Palatino Linotype" w:eastAsia="굴림" w:hAnsi="Palatino Linotype" w:cs="Times New Roman"/>
          <w:color w:val="0A0A0A"/>
          <w:kern w:val="0"/>
          <w:sz w:val="24"/>
          <w:szCs w:val="24"/>
        </w:rPr>
        <w:t>fwd</w:t>
      </w:r>
      <w:proofErr w:type="spellEnd"/>
      <w:r w:rsidR="00B5082A" w:rsidRPr="00B5082A">
        <w:rPr>
          <w:rFonts w:ascii="Palatino Linotype" w:eastAsia="굴림" w:hAnsi="Palatino Linotype" w:cs="Times New Roman"/>
          <w:color w:val="0A0A0A"/>
          <w:kern w:val="0"/>
          <w:sz w:val="24"/>
          <w:szCs w:val="24"/>
        </w:rPr>
        <w:t xml:space="preserve"> —&gt; CMAQ adjoint —&gt; 4D-Var solver (gradient based minimizer) —&gt; an arrow back to CMAQ forward (because 4D-Var requires iteration) and another arrow to 4D-Var posterior emissions.  And perhaps another arrow from here to Hybrid Emissions? Because the Hybrid emissions are themselves the emissions that result from the 4D-Var solution, yes?  Also, later on </w:t>
      </w:r>
      <w:proofErr w:type="gramStart"/>
      <w:r w:rsidR="00B5082A" w:rsidRPr="00B5082A">
        <w:rPr>
          <w:rFonts w:ascii="Palatino Linotype" w:eastAsia="굴림" w:hAnsi="Palatino Linotype" w:cs="Times New Roman"/>
          <w:color w:val="0A0A0A"/>
          <w:kern w:val="0"/>
          <w:sz w:val="24"/>
          <w:szCs w:val="24"/>
        </w:rPr>
        <w:t>e.g.</w:t>
      </w:r>
      <w:proofErr w:type="gramEnd"/>
      <w:r w:rsidR="00B5082A" w:rsidRPr="00B5082A">
        <w:rPr>
          <w:rFonts w:ascii="Palatino Linotype" w:eastAsia="굴림" w:hAnsi="Palatino Linotype" w:cs="Times New Roman"/>
          <w:color w:val="0A0A0A"/>
          <w:kern w:val="0"/>
          <w:sz w:val="24"/>
          <w:szCs w:val="24"/>
        </w:rPr>
        <w:t xml:space="preserve"> line 244 the authors refer to “posterior emissions” so it would be good, as I’ve suggested, to specifically identify what these are in the flowchart.</w:t>
      </w:r>
    </w:p>
    <w:p w14:paraId="32E67258" w14:textId="09882D50" w:rsidR="00D4713C" w:rsidRDefault="00D4713C" w:rsidP="00D4713C">
      <w:pPr>
        <w:widowControl/>
        <w:wordWrap/>
        <w:autoSpaceDE/>
        <w:autoSpaceDN/>
        <w:rPr>
          <w:rFonts w:ascii="Palatino Linotype" w:eastAsia="굴림" w:hAnsi="Palatino Linotype" w:cs="Times New Roman"/>
          <w:color w:val="0A0A0A"/>
          <w:kern w:val="0"/>
          <w:sz w:val="24"/>
          <w:szCs w:val="24"/>
        </w:rPr>
      </w:pPr>
      <w:r w:rsidRPr="0099212A">
        <w:rPr>
          <w:rFonts w:ascii="Palatino Linotype" w:hAnsi="Palatino Linotype" w:cs="Times New Roman"/>
          <w:b/>
          <w:bCs/>
          <w:color w:val="FF0000"/>
          <w:sz w:val="24"/>
          <w:szCs w:val="28"/>
          <w:shd w:val="clear" w:color="auto" w:fill="FFFFFF"/>
        </w:rPr>
        <w:t>Response</w:t>
      </w:r>
      <w:r w:rsidRPr="0099212A">
        <w:rPr>
          <w:rFonts w:ascii="Palatino Linotype" w:hAnsi="Palatino Linotype" w:cs="Times New Roman"/>
          <w:b/>
          <w:bCs/>
          <w:sz w:val="24"/>
          <w:szCs w:val="28"/>
          <w:shd w:val="clear" w:color="auto" w:fill="FFFFFF"/>
        </w:rPr>
        <w:t>:</w:t>
      </w:r>
      <w:r w:rsidRPr="0099212A">
        <w:rPr>
          <w:b/>
          <w:bCs/>
        </w:rPr>
        <w:t xml:space="preserve"> </w:t>
      </w:r>
      <w:r w:rsidR="00110958" w:rsidRPr="00110958">
        <w:rPr>
          <w:rFonts w:ascii="Palatino Linotype" w:eastAsia="굴림" w:hAnsi="Palatino Linotype" w:cs="Times New Roman"/>
          <w:b/>
          <w:bCs/>
          <w:color w:val="0A0A0A"/>
          <w:kern w:val="0"/>
          <w:sz w:val="24"/>
          <w:szCs w:val="24"/>
        </w:rPr>
        <w:t>We have redesigned the flowchart in Fig. 3 to clearly represent the iterative nature of the 4D-Var optimization. The revised diagram explicitly shows the closed-loop sequence of the CMAQ forward model, CMAQ adjoint model, and 4D-Var solver, which represents the gradient-based minimization procedure. We have also added explicit labels and arrows indicating that the 4D-Var posterior emissions lead to the final hybrid emissions, consistent with the terminology used in the manuscript.</w:t>
      </w:r>
    </w:p>
    <w:p w14:paraId="4AA809C3" w14:textId="1B1A45A2" w:rsidR="00D9287B" w:rsidRPr="002A60EE" w:rsidRDefault="00D9287B" w:rsidP="00D9287B">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Fig.3 </w:t>
      </w:r>
      <w:r w:rsidRPr="00964E09">
        <w:rPr>
          <w:rFonts w:ascii="Palatino Linotype" w:hAnsi="Palatino Linotype" w:cs="Times New Roman"/>
          <w:i/>
          <w:color w:val="0A0A0A"/>
          <w:sz w:val="24"/>
          <w:szCs w:val="24"/>
          <w:shd w:val="clear" w:color="auto" w:fill="FEFEFE"/>
        </w:rPr>
        <w:t>in the revised manuscript&gt;</w:t>
      </w:r>
    </w:p>
    <w:p w14:paraId="4200A878" w14:textId="77777777" w:rsidR="00D4713C" w:rsidRPr="00D4713C" w:rsidRDefault="00D4713C" w:rsidP="00D4713C">
      <w:pPr>
        <w:widowControl/>
        <w:wordWrap/>
        <w:autoSpaceDE/>
        <w:autoSpaceDN/>
        <w:spacing w:after="0" w:line="360" w:lineRule="auto"/>
        <w:jc w:val="center"/>
        <w:rPr>
          <w:rFonts w:ascii="Times New Roman" w:eastAsia="Times New Roman" w:hAnsi="Times New Roman" w:cs="Times New Roman"/>
          <w:kern w:val="0"/>
          <w:szCs w:val="24"/>
          <w:lang w:val="en-GB" w:eastAsia="de-DE"/>
        </w:rPr>
      </w:pPr>
      <w:r w:rsidRPr="00D4713C">
        <w:rPr>
          <w:rFonts w:ascii="Times New Roman" w:eastAsia="Times New Roman" w:hAnsi="Times New Roman" w:cs="Times New Roman"/>
          <w:noProof/>
          <w:kern w:val="0"/>
          <w:szCs w:val="24"/>
          <w:lang w:val="en-GB" w:eastAsia="de-DE"/>
        </w:rPr>
        <w:drawing>
          <wp:inline distT="0" distB="0" distL="0" distR="0" wp14:anchorId="31830597" wp14:editId="7A37C2AE">
            <wp:extent cx="3022652" cy="4052620"/>
            <wp:effectExtent l="0" t="0" r="635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7153" cy="4058655"/>
                    </a:xfrm>
                    <a:prstGeom prst="rect">
                      <a:avLst/>
                    </a:prstGeom>
                    <a:noFill/>
                  </pic:spPr>
                </pic:pic>
              </a:graphicData>
            </a:graphic>
          </wp:inline>
        </w:drawing>
      </w:r>
    </w:p>
    <w:p w14:paraId="2E4BEAFF" w14:textId="77777777" w:rsidR="00D4713C" w:rsidRPr="00D4713C" w:rsidRDefault="00D4713C" w:rsidP="00D4713C">
      <w:pPr>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D4713C">
        <w:rPr>
          <w:rFonts w:ascii="Times New Roman" w:eastAsia="Times New Roman" w:hAnsi="Times New Roman" w:cs="Times New Roman"/>
          <w:b/>
          <w:bCs/>
          <w:kern w:val="0"/>
          <w:sz w:val="18"/>
          <w:szCs w:val="18"/>
          <w:lang w:val="en-GB" w:eastAsia="de-DE"/>
        </w:rPr>
        <w:t xml:space="preserve">Figure </w:t>
      </w:r>
      <w:r w:rsidRPr="00D4713C">
        <w:rPr>
          <w:rFonts w:ascii="Times New Roman" w:eastAsia="Times New Roman" w:hAnsi="Times New Roman" w:cs="Times New Roman"/>
          <w:b/>
          <w:bCs/>
          <w:kern w:val="0"/>
          <w:sz w:val="18"/>
          <w:szCs w:val="18"/>
          <w:lang w:val="en-GB" w:eastAsia="de-DE"/>
        </w:rPr>
        <w:fldChar w:fldCharType="begin"/>
      </w:r>
      <w:r w:rsidRPr="00D4713C">
        <w:rPr>
          <w:rFonts w:ascii="Times New Roman" w:eastAsia="Times New Roman" w:hAnsi="Times New Roman" w:cs="Times New Roman"/>
          <w:b/>
          <w:bCs/>
          <w:kern w:val="0"/>
          <w:sz w:val="18"/>
          <w:szCs w:val="18"/>
          <w:lang w:val="en-GB" w:eastAsia="de-DE"/>
        </w:rPr>
        <w:instrText xml:space="preserve"> SEQ Fig. \* ARABIC </w:instrText>
      </w:r>
      <w:r w:rsidRPr="00D4713C">
        <w:rPr>
          <w:rFonts w:ascii="Times New Roman" w:eastAsia="Times New Roman" w:hAnsi="Times New Roman" w:cs="Times New Roman"/>
          <w:b/>
          <w:bCs/>
          <w:kern w:val="0"/>
          <w:sz w:val="18"/>
          <w:szCs w:val="18"/>
          <w:lang w:val="en-GB" w:eastAsia="de-DE"/>
        </w:rPr>
        <w:fldChar w:fldCharType="separate"/>
      </w:r>
      <w:r w:rsidRPr="00D4713C">
        <w:rPr>
          <w:rFonts w:ascii="Times New Roman" w:eastAsia="Times New Roman" w:hAnsi="Times New Roman" w:cs="Times New Roman"/>
          <w:b/>
          <w:bCs/>
          <w:noProof/>
          <w:kern w:val="0"/>
          <w:sz w:val="18"/>
          <w:szCs w:val="18"/>
          <w:lang w:val="en-GB" w:eastAsia="de-DE"/>
        </w:rPr>
        <w:t>3</w:t>
      </w:r>
      <w:r w:rsidRPr="00D4713C">
        <w:rPr>
          <w:rFonts w:ascii="Times New Roman" w:eastAsia="Times New Roman" w:hAnsi="Times New Roman" w:cs="Times New Roman"/>
          <w:b/>
          <w:bCs/>
          <w:noProof/>
          <w:kern w:val="0"/>
          <w:sz w:val="18"/>
          <w:szCs w:val="18"/>
          <w:lang w:val="en-GB" w:eastAsia="de-DE"/>
        </w:rPr>
        <w:fldChar w:fldCharType="end"/>
      </w:r>
      <w:r w:rsidRPr="00D4713C">
        <w:rPr>
          <w:rFonts w:ascii="Times New Roman" w:eastAsia="Times New Roman" w:hAnsi="Times New Roman" w:cs="Times New Roman"/>
          <w:b/>
          <w:bCs/>
          <w:noProof/>
          <w:kern w:val="0"/>
          <w:sz w:val="18"/>
          <w:szCs w:val="18"/>
          <w:lang w:val="en-GB" w:eastAsia="de-DE"/>
        </w:rPr>
        <w:t>:</w:t>
      </w:r>
      <w:r w:rsidRPr="00D4713C">
        <w:rPr>
          <w:rFonts w:ascii="Times New Roman" w:eastAsia="Times New Roman" w:hAnsi="Times New Roman" w:cs="Times New Roman"/>
          <w:b/>
          <w:bCs/>
          <w:kern w:val="0"/>
          <w:sz w:val="18"/>
          <w:szCs w:val="18"/>
          <w:lang w:val="en-GB" w:eastAsia="de-DE"/>
        </w:rPr>
        <w:t xml:space="preserve"> Schematic of the hybrid inverse </w:t>
      </w:r>
      <w:proofErr w:type="spellStart"/>
      <w:r w:rsidRPr="00D4713C">
        <w:rPr>
          <w:rFonts w:ascii="Times New Roman" w:eastAsia="Times New Roman" w:hAnsi="Times New Roman" w:cs="Times New Roman"/>
          <w:b/>
          <w:bCs/>
          <w:kern w:val="0"/>
          <w:sz w:val="18"/>
          <w:szCs w:val="18"/>
          <w:lang w:val="en-GB" w:eastAsia="de-DE"/>
        </w:rPr>
        <w:t>modeling</w:t>
      </w:r>
      <w:proofErr w:type="spellEnd"/>
      <w:r w:rsidRPr="00D4713C">
        <w:rPr>
          <w:rFonts w:ascii="Times New Roman" w:eastAsia="Times New Roman" w:hAnsi="Times New Roman" w:cs="Times New Roman"/>
          <w:b/>
          <w:bCs/>
          <w:kern w:val="0"/>
          <w:sz w:val="18"/>
          <w:szCs w:val="18"/>
          <w:lang w:val="en-GB" w:eastAsia="de-DE"/>
        </w:rPr>
        <w:t xml:space="preserve"> framework combining FDMB and 4D-Var inversions. In the first step, the FDMB inversion (blue box) corrects the spatial distribution of NO</w:t>
      </w:r>
      <w:r w:rsidRPr="00D4713C">
        <w:rPr>
          <w:rFonts w:ascii="Times New Roman" w:eastAsia="Times New Roman" w:hAnsi="Times New Roman" w:cs="Times New Roman"/>
          <w:b/>
          <w:bCs/>
          <w:kern w:val="0"/>
          <w:sz w:val="18"/>
          <w:szCs w:val="18"/>
          <w:vertAlign w:val="subscript"/>
          <w:lang w:val="en-GB" w:eastAsia="de-DE"/>
        </w:rPr>
        <w:t>x</w:t>
      </w:r>
      <w:r w:rsidRPr="00D4713C">
        <w:rPr>
          <w:rFonts w:ascii="Times New Roman" w:eastAsia="Times New Roman" w:hAnsi="Times New Roman" w:cs="Times New Roman"/>
          <w:b/>
          <w:bCs/>
          <w:kern w:val="0"/>
          <w:sz w:val="18"/>
          <w:szCs w:val="18"/>
          <w:lang w:val="en-GB" w:eastAsia="de-DE"/>
        </w:rPr>
        <w:t xml:space="preserve"> and VOC emissions using TROPOMI NO</w:t>
      </w:r>
      <w:r w:rsidRPr="00D4713C">
        <w:rPr>
          <w:rFonts w:ascii="Times New Roman" w:eastAsia="Times New Roman" w:hAnsi="Times New Roman" w:cs="Times New Roman"/>
          <w:b/>
          <w:bCs/>
          <w:kern w:val="0"/>
          <w:sz w:val="18"/>
          <w:szCs w:val="18"/>
          <w:vertAlign w:val="subscript"/>
          <w:lang w:val="en-GB" w:eastAsia="de-DE"/>
        </w:rPr>
        <w:t>2</w:t>
      </w:r>
      <w:r w:rsidRPr="00D4713C">
        <w:rPr>
          <w:rFonts w:ascii="Times New Roman" w:eastAsia="Times New Roman" w:hAnsi="Times New Roman" w:cs="Times New Roman"/>
          <w:b/>
          <w:bCs/>
          <w:kern w:val="0"/>
          <w:sz w:val="18"/>
          <w:szCs w:val="18"/>
          <w:lang w:val="en-GB" w:eastAsia="de-DE"/>
        </w:rPr>
        <w:t xml:space="preserve"> and HCHO VCDs. In the second step, the 4D-Var inversion (Yellow box) constrains the spatiotemporal distribution of NO</w:t>
      </w:r>
      <w:r w:rsidRPr="00D4713C">
        <w:rPr>
          <w:rFonts w:ascii="Times New Roman" w:eastAsia="Times New Roman" w:hAnsi="Times New Roman" w:cs="Times New Roman"/>
          <w:b/>
          <w:bCs/>
          <w:kern w:val="0"/>
          <w:sz w:val="18"/>
          <w:szCs w:val="18"/>
          <w:vertAlign w:val="subscript"/>
          <w:lang w:val="en-GB" w:eastAsia="de-DE"/>
        </w:rPr>
        <w:t>x</w:t>
      </w:r>
      <w:r w:rsidRPr="00D4713C">
        <w:rPr>
          <w:rFonts w:ascii="Times New Roman" w:eastAsia="Times New Roman" w:hAnsi="Times New Roman" w:cs="Times New Roman"/>
          <w:b/>
          <w:bCs/>
          <w:kern w:val="0"/>
          <w:sz w:val="18"/>
          <w:szCs w:val="18"/>
          <w:lang w:val="en-GB" w:eastAsia="de-DE"/>
        </w:rPr>
        <w:t xml:space="preserve"> and VOC emissions by assimilating hourly ground-based NO</w:t>
      </w:r>
      <w:r w:rsidRPr="00D4713C">
        <w:rPr>
          <w:rFonts w:ascii="Times New Roman" w:eastAsia="Times New Roman" w:hAnsi="Times New Roman" w:cs="Times New Roman"/>
          <w:b/>
          <w:bCs/>
          <w:kern w:val="0"/>
          <w:sz w:val="18"/>
          <w:szCs w:val="18"/>
          <w:vertAlign w:val="subscript"/>
          <w:lang w:val="en-GB" w:eastAsia="de-DE"/>
        </w:rPr>
        <w:t>2</w:t>
      </w:r>
      <w:r w:rsidRPr="00D4713C">
        <w:rPr>
          <w:rFonts w:ascii="Times New Roman" w:eastAsia="Times New Roman" w:hAnsi="Times New Roman" w:cs="Times New Roman"/>
          <w:b/>
          <w:bCs/>
          <w:kern w:val="0"/>
          <w:sz w:val="18"/>
          <w:szCs w:val="18"/>
          <w:lang w:val="en-GB" w:eastAsia="de-DE"/>
        </w:rPr>
        <w:t xml:space="preserve"> and O</w:t>
      </w:r>
      <w:r w:rsidRPr="00D4713C">
        <w:rPr>
          <w:rFonts w:ascii="Times New Roman" w:eastAsia="Times New Roman" w:hAnsi="Times New Roman" w:cs="Times New Roman"/>
          <w:b/>
          <w:bCs/>
          <w:kern w:val="0"/>
          <w:sz w:val="18"/>
          <w:szCs w:val="18"/>
          <w:vertAlign w:val="subscript"/>
          <w:lang w:val="en-GB" w:eastAsia="de-DE"/>
        </w:rPr>
        <w:t>3</w:t>
      </w:r>
      <w:r w:rsidRPr="00D4713C">
        <w:rPr>
          <w:rFonts w:ascii="Times New Roman" w:eastAsia="Times New Roman" w:hAnsi="Times New Roman" w:cs="Times New Roman"/>
          <w:b/>
          <w:bCs/>
          <w:kern w:val="0"/>
          <w:sz w:val="18"/>
          <w:szCs w:val="18"/>
          <w:lang w:val="en-GB" w:eastAsia="de-DE"/>
        </w:rPr>
        <w:t xml:space="preserve"> observations.</w:t>
      </w:r>
    </w:p>
    <w:p w14:paraId="21300214" w14:textId="2590D8AD"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12</w:t>
      </w:r>
      <w:r>
        <w:rPr>
          <w:rFonts w:ascii="Palatino Linotype" w:eastAsia="굴림" w:hAnsi="Palatino Linotype" w:cs="Times New Roman"/>
          <w:color w:val="0A0A0A"/>
          <w:kern w:val="0"/>
          <w:sz w:val="24"/>
          <w:szCs w:val="24"/>
        </w:rPr>
        <w:t xml:space="preserve">: </w:t>
      </w:r>
      <w:r w:rsidR="00B5082A" w:rsidRPr="00B5082A">
        <w:rPr>
          <w:rFonts w:ascii="Palatino Linotype" w:eastAsia="굴림" w:hAnsi="Palatino Linotype" w:cs="Times New Roman"/>
          <w:color w:val="0A0A0A"/>
          <w:kern w:val="0"/>
          <w:sz w:val="24"/>
          <w:szCs w:val="24"/>
        </w:rPr>
        <w:t>249: It’s a bit confusing as here it seems that the time difference between t1 and t2 is an hour, where in the previous section it was 24 hrs.</w:t>
      </w:r>
    </w:p>
    <w:p w14:paraId="5C2FAC34" w14:textId="53299A0A" w:rsidR="00A24519" w:rsidRDefault="006777A5" w:rsidP="00B5082A">
      <w:pPr>
        <w:widowControl/>
        <w:wordWrap/>
        <w:autoSpaceDE/>
        <w:autoSpaceDN/>
        <w:rPr>
          <w:rFonts w:ascii="Palatino Linotype" w:hAnsi="Palatino Linotype" w:cs="Times New Roman"/>
          <w:b/>
          <w:bCs/>
          <w:sz w:val="24"/>
          <w:szCs w:val="28"/>
          <w:shd w:val="clear" w:color="auto" w:fill="FFFFFF"/>
        </w:rPr>
      </w:pPr>
      <w:r w:rsidRPr="0099212A">
        <w:rPr>
          <w:rFonts w:ascii="Palatino Linotype" w:hAnsi="Palatino Linotype" w:cs="Times New Roman"/>
          <w:b/>
          <w:bCs/>
          <w:color w:val="FF0000"/>
          <w:sz w:val="24"/>
          <w:szCs w:val="28"/>
          <w:shd w:val="clear" w:color="auto" w:fill="FFFFFF"/>
        </w:rPr>
        <w:t>Response</w:t>
      </w:r>
      <w:r w:rsidRPr="0099212A">
        <w:rPr>
          <w:rFonts w:ascii="Palatino Linotype" w:hAnsi="Palatino Linotype" w:cs="Times New Roman"/>
          <w:b/>
          <w:bCs/>
          <w:sz w:val="24"/>
          <w:szCs w:val="28"/>
          <w:shd w:val="clear" w:color="auto" w:fill="FFFFFF"/>
        </w:rPr>
        <w:t>:</w:t>
      </w:r>
      <w:r w:rsidR="0005707B">
        <w:rPr>
          <w:rFonts w:ascii="Palatino Linotype" w:hAnsi="Palatino Linotype" w:cs="Times New Roman"/>
          <w:b/>
          <w:bCs/>
          <w:sz w:val="24"/>
          <w:szCs w:val="28"/>
          <w:shd w:val="clear" w:color="auto" w:fill="FFFFFF"/>
        </w:rPr>
        <w:t xml:space="preserve"> </w:t>
      </w:r>
      <w:r w:rsidR="00BD63A9" w:rsidRPr="00BD63A9">
        <w:rPr>
          <w:rFonts w:ascii="Palatino Linotype" w:hAnsi="Palatino Linotype" w:cs="Times New Roman"/>
          <w:b/>
          <w:bCs/>
          <w:sz w:val="24"/>
          <w:szCs w:val="28"/>
          <w:shd w:val="clear" w:color="auto" w:fill="FFFFFF"/>
        </w:rPr>
        <w:t xml:space="preserve">We agree that the subscripts "1" and "2" in </w:t>
      </w:r>
      <w:r w:rsidR="00BD63A9">
        <w:rPr>
          <w:rFonts w:ascii="Palatino Linotype" w:hAnsi="Palatino Linotype" w:cs="Times New Roman"/>
          <w:b/>
          <w:bCs/>
          <w:sz w:val="24"/>
          <w:szCs w:val="28"/>
          <w:shd w:val="clear" w:color="auto" w:fill="FFFFFF"/>
        </w:rPr>
        <w:t>t</w:t>
      </w:r>
      <w:r w:rsidR="00BD63A9" w:rsidRPr="00BD63A9">
        <w:rPr>
          <w:rFonts w:ascii="Palatino Linotype" w:hAnsi="Palatino Linotype" w:cs="Times New Roman"/>
          <w:b/>
          <w:bCs/>
          <w:sz w:val="24"/>
          <w:szCs w:val="28"/>
          <w:shd w:val="clear" w:color="auto" w:fill="FFFFFF"/>
          <w:vertAlign w:val="subscript"/>
        </w:rPr>
        <w:t>1</w:t>
      </w:r>
      <w:r w:rsidR="00BD63A9" w:rsidRPr="00BD63A9">
        <w:rPr>
          <w:rFonts w:ascii="Palatino Linotype" w:hAnsi="Palatino Linotype" w:cs="Times New Roman"/>
          <w:b/>
          <w:bCs/>
          <w:sz w:val="24"/>
          <w:szCs w:val="28"/>
          <w:shd w:val="clear" w:color="auto" w:fill="FFFFFF"/>
        </w:rPr>
        <w:t xml:space="preserve"> and </w:t>
      </w:r>
      <w:r w:rsidR="00BD63A9">
        <w:rPr>
          <w:rFonts w:ascii="Palatino Linotype" w:hAnsi="Palatino Linotype" w:cs="Times New Roman"/>
          <w:b/>
          <w:bCs/>
          <w:sz w:val="24"/>
          <w:szCs w:val="28"/>
          <w:shd w:val="clear" w:color="auto" w:fill="FFFFFF"/>
        </w:rPr>
        <w:t>t</w:t>
      </w:r>
      <w:r w:rsidR="00BD63A9" w:rsidRPr="00BD63A9">
        <w:rPr>
          <w:rFonts w:ascii="Palatino Linotype" w:hAnsi="Palatino Linotype" w:cs="Times New Roman"/>
          <w:b/>
          <w:bCs/>
          <w:sz w:val="24"/>
          <w:szCs w:val="28"/>
          <w:shd w:val="clear" w:color="auto" w:fill="FFFFFF"/>
          <w:vertAlign w:val="subscript"/>
        </w:rPr>
        <w:t>2</w:t>
      </w:r>
      <w:r w:rsidR="00BD63A9" w:rsidRPr="00BD63A9">
        <w:rPr>
          <w:rFonts w:ascii="Palatino Linotype" w:hAnsi="Palatino Linotype" w:cs="Times New Roman"/>
          <w:b/>
          <w:bCs/>
          <w:sz w:val="24"/>
          <w:szCs w:val="28"/>
          <w:shd w:val="clear" w:color="auto" w:fill="FFFFFF"/>
        </w:rPr>
        <w:t xml:space="preserve"> were misleading, as they inadvertently implied a strict 1-hour consecutive interval (e.g., hour 1 to hour 2), which conflicted with the 24-hour total assimilation window described previously. To avoid this confusion, we have updated the notation to </w:t>
      </w:r>
      <w:r w:rsidR="00BD63A9">
        <w:rPr>
          <w:rFonts w:ascii="Palatino Linotype" w:hAnsi="Palatino Linotype" w:cs="Times New Roman"/>
          <w:b/>
          <w:bCs/>
          <w:sz w:val="24"/>
          <w:szCs w:val="28"/>
          <w:shd w:val="clear" w:color="auto" w:fill="FFFFFF"/>
        </w:rPr>
        <w:t>h</w:t>
      </w:r>
      <w:r w:rsidR="00BD63A9" w:rsidRPr="00BD63A9">
        <w:rPr>
          <w:rFonts w:ascii="Palatino Linotype" w:hAnsi="Palatino Linotype" w:cs="Times New Roman"/>
          <w:b/>
          <w:bCs/>
          <w:sz w:val="24"/>
          <w:szCs w:val="28"/>
          <w:shd w:val="clear" w:color="auto" w:fill="FFFFFF"/>
          <w:vertAlign w:val="subscript"/>
        </w:rPr>
        <w:t>e</w:t>
      </w:r>
      <w:r w:rsidR="00BD63A9" w:rsidRPr="00BD63A9">
        <w:rPr>
          <w:rFonts w:ascii="Palatino Linotype" w:hAnsi="Palatino Linotype" w:cs="Times New Roman"/>
          <w:b/>
          <w:bCs/>
          <w:sz w:val="24"/>
          <w:szCs w:val="28"/>
          <w:shd w:val="clear" w:color="auto" w:fill="FFFFFF"/>
        </w:rPr>
        <w:t xml:space="preserve"> (emission hour) and </w:t>
      </w:r>
      <w:proofErr w:type="spellStart"/>
      <w:r w:rsidR="00BD63A9">
        <w:rPr>
          <w:rFonts w:ascii="Palatino Linotype" w:hAnsi="Palatino Linotype" w:cs="Times New Roman"/>
          <w:b/>
          <w:bCs/>
          <w:sz w:val="24"/>
          <w:szCs w:val="28"/>
          <w:shd w:val="clear" w:color="auto" w:fill="FFFFFF"/>
        </w:rPr>
        <w:t>h</w:t>
      </w:r>
      <w:r w:rsidR="00BD63A9" w:rsidRPr="00BD63A9">
        <w:rPr>
          <w:rFonts w:ascii="Palatino Linotype" w:hAnsi="Palatino Linotype" w:cs="Times New Roman"/>
          <w:b/>
          <w:bCs/>
          <w:sz w:val="24"/>
          <w:szCs w:val="28"/>
          <w:shd w:val="clear" w:color="auto" w:fill="FFFFFF"/>
          <w:vertAlign w:val="subscript"/>
        </w:rPr>
        <w:t>r</w:t>
      </w:r>
      <w:proofErr w:type="spellEnd"/>
      <w:r w:rsidR="00BD63A9" w:rsidRPr="00BD63A9">
        <w:rPr>
          <w:rFonts w:ascii="Palatino Linotype" w:hAnsi="Palatino Linotype" w:cs="Times New Roman"/>
          <w:b/>
          <w:bCs/>
          <w:sz w:val="24"/>
          <w:szCs w:val="28"/>
          <w:shd w:val="clear" w:color="auto" w:fill="FFFFFF"/>
        </w:rPr>
        <w:t xml:space="preserve"> (receptor hour) in the revised manuscript (Section 2.5).</w:t>
      </w:r>
    </w:p>
    <w:p w14:paraId="7E074E04" w14:textId="77777777" w:rsidR="00A24519" w:rsidRDefault="00A24519">
      <w:pPr>
        <w:widowControl/>
        <w:wordWrap/>
        <w:autoSpaceDE/>
        <w:autoSpaceDN/>
        <w:rPr>
          <w:rFonts w:ascii="Palatino Linotype" w:hAnsi="Palatino Linotype" w:cs="Times New Roman"/>
          <w:b/>
          <w:bCs/>
          <w:sz w:val="24"/>
          <w:szCs w:val="28"/>
          <w:shd w:val="clear" w:color="auto" w:fill="FFFFFF"/>
        </w:rPr>
      </w:pPr>
      <w:r>
        <w:rPr>
          <w:rFonts w:ascii="Palatino Linotype" w:hAnsi="Palatino Linotype" w:cs="Times New Roman"/>
          <w:b/>
          <w:bCs/>
          <w:sz w:val="24"/>
          <w:szCs w:val="28"/>
          <w:shd w:val="clear" w:color="auto" w:fill="FFFFFF"/>
        </w:rPr>
        <w:br w:type="page"/>
      </w:r>
    </w:p>
    <w:p w14:paraId="67133C16" w14:textId="2BEE4140" w:rsidR="00B5082A" w:rsidRDefault="007F07DA" w:rsidP="00B5082A">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13</w:t>
      </w:r>
      <w:r>
        <w:rPr>
          <w:rFonts w:ascii="Palatino Linotype" w:eastAsia="굴림" w:hAnsi="Palatino Linotype" w:cs="Times New Roman"/>
          <w:color w:val="0A0A0A"/>
          <w:kern w:val="0"/>
          <w:sz w:val="24"/>
          <w:szCs w:val="24"/>
        </w:rPr>
        <w:t xml:space="preserve">: </w:t>
      </w:r>
      <w:r w:rsidR="00B5082A" w:rsidRPr="00B5082A">
        <w:rPr>
          <w:rFonts w:ascii="Palatino Linotype" w:eastAsia="굴림" w:hAnsi="Palatino Linotype" w:cs="Times New Roman"/>
          <w:color w:val="0A0A0A"/>
          <w:kern w:val="0"/>
          <w:sz w:val="24"/>
          <w:szCs w:val="24"/>
        </w:rPr>
        <w:t>Fig 5: perhaps show the 2nd and 3rd columns as differences from the prior? or from each other? It’s hard to see the NO</w:t>
      </w:r>
      <w:r w:rsidR="00B5082A" w:rsidRPr="000D0597">
        <w:rPr>
          <w:rFonts w:ascii="Palatino Linotype" w:eastAsia="굴림" w:hAnsi="Palatino Linotype" w:cs="Times New Roman"/>
          <w:color w:val="0A0A0A"/>
          <w:kern w:val="0"/>
          <w:sz w:val="24"/>
          <w:szCs w:val="24"/>
          <w:vertAlign w:val="subscript"/>
        </w:rPr>
        <w:t>x</w:t>
      </w:r>
      <w:r w:rsidR="00B5082A" w:rsidRPr="00B5082A">
        <w:rPr>
          <w:rFonts w:ascii="Palatino Linotype" w:eastAsia="굴림" w:hAnsi="Palatino Linotype" w:cs="Times New Roman"/>
          <w:color w:val="0A0A0A"/>
          <w:kern w:val="0"/>
          <w:sz w:val="24"/>
          <w:szCs w:val="24"/>
        </w:rPr>
        <w:t xml:space="preserve"> emission changes at all.</w:t>
      </w:r>
    </w:p>
    <w:p w14:paraId="3C03691F" w14:textId="67FD17A5" w:rsidR="00144DF8" w:rsidRDefault="00144DF8" w:rsidP="00144DF8">
      <w:pPr>
        <w:widowControl/>
        <w:wordWrap/>
        <w:autoSpaceDE/>
        <w:autoSpaceDN/>
        <w:rPr>
          <w:rFonts w:ascii="Palatino Linotype" w:eastAsia="굴림" w:hAnsi="Palatino Linotype" w:cs="Times New Roman"/>
          <w:b/>
          <w:bCs/>
          <w:color w:val="0A0A0A"/>
          <w:kern w:val="0"/>
          <w:sz w:val="24"/>
          <w:szCs w:val="24"/>
        </w:rPr>
      </w:pPr>
      <w:r w:rsidRPr="0099212A">
        <w:rPr>
          <w:rFonts w:ascii="Palatino Linotype" w:hAnsi="Palatino Linotype" w:cs="Times New Roman"/>
          <w:b/>
          <w:bCs/>
          <w:color w:val="FF0000"/>
          <w:sz w:val="24"/>
          <w:szCs w:val="28"/>
          <w:shd w:val="clear" w:color="auto" w:fill="FFFFFF"/>
        </w:rPr>
        <w:t>Response</w:t>
      </w:r>
      <w:r w:rsidRPr="0099212A">
        <w:rPr>
          <w:rFonts w:ascii="Palatino Linotype" w:hAnsi="Palatino Linotype" w:cs="Times New Roman"/>
          <w:b/>
          <w:bCs/>
          <w:sz w:val="24"/>
          <w:szCs w:val="28"/>
          <w:shd w:val="clear" w:color="auto" w:fill="FFFFFF"/>
        </w:rPr>
        <w:t>:</w:t>
      </w:r>
      <w:r w:rsidRPr="0099212A">
        <w:rPr>
          <w:b/>
          <w:bCs/>
        </w:rPr>
        <w:t xml:space="preserve"> </w:t>
      </w:r>
      <w:r w:rsidR="00D738B3" w:rsidRPr="00D738B3">
        <w:rPr>
          <w:rFonts w:ascii="Palatino Linotype" w:eastAsia="굴림" w:hAnsi="Palatino Linotype" w:cs="Times New Roman"/>
          <w:b/>
          <w:bCs/>
          <w:color w:val="0A0A0A"/>
          <w:kern w:val="0"/>
          <w:sz w:val="24"/>
          <w:szCs w:val="24"/>
        </w:rPr>
        <w:t>Following your suggestion, we have redesigned both Figure 5 and Figure S4. The figures have been updated so that the final column explicitly displays the spatial differences from the prior emissions (i.e., Posterior minus Prior). This modification clearly highlights the specific spatial adjustments made to the precursor emissions across the domain.</w:t>
      </w:r>
    </w:p>
    <w:p w14:paraId="73B84151" w14:textId="3670442C" w:rsidR="00144DF8" w:rsidRPr="00A24519" w:rsidRDefault="00A24519" w:rsidP="00A24519">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Fig. 5 and Fig.S4 </w:t>
      </w:r>
      <w:r w:rsidRPr="00964E09">
        <w:rPr>
          <w:rFonts w:ascii="Palatino Linotype" w:hAnsi="Palatino Linotype" w:cs="Times New Roman"/>
          <w:i/>
          <w:color w:val="0A0A0A"/>
          <w:sz w:val="24"/>
          <w:szCs w:val="24"/>
          <w:shd w:val="clear" w:color="auto" w:fill="FEFEFE"/>
        </w:rPr>
        <w:t>in the revised manuscript&gt;</w:t>
      </w:r>
    </w:p>
    <w:p w14:paraId="1E246018" w14:textId="77777777" w:rsidR="000D0597" w:rsidRPr="000D0597" w:rsidRDefault="000D0597" w:rsidP="000D0597">
      <w:pPr>
        <w:widowControl/>
        <w:wordWrap/>
        <w:autoSpaceDE/>
        <w:autoSpaceDN/>
        <w:spacing w:after="0" w:line="360" w:lineRule="auto"/>
        <w:ind w:firstLineChars="100" w:firstLine="200"/>
        <w:jc w:val="center"/>
        <w:rPr>
          <w:rFonts w:ascii="Times New Roman" w:eastAsia="Times New Roman" w:hAnsi="Times New Roman" w:cs="Times New Roman"/>
          <w:kern w:val="0"/>
          <w:szCs w:val="24"/>
          <w:lang w:val="en-GB" w:eastAsia="de-DE"/>
        </w:rPr>
      </w:pPr>
      <w:r w:rsidRPr="000D0597">
        <w:rPr>
          <w:rFonts w:ascii="Times New Roman" w:eastAsia="Times New Roman" w:hAnsi="Times New Roman" w:cs="Times New Roman"/>
          <w:noProof/>
          <w:kern w:val="0"/>
          <w:szCs w:val="24"/>
          <w:lang w:val="en-GB" w:eastAsia="de-DE"/>
        </w:rPr>
        <w:drawing>
          <wp:inline distT="0" distB="0" distL="0" distR="0" wp14:anchorId="02AB7556" wp14:editId="06C1231C">
            <wp:extent cx="5660081" cy="5615305"/>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67132" cy="5622301"/>
                    </a:xfrm>
                    <a:prstGeom prst="rect">
                      <a:avLst/>
                    </a:prstGeom>
                    <a:noFill/>
                  </pic:spPr>
                </pic:pic>
              </a:graphicData>
            </a:graphic>
          </wp:inline>
        </w:drawing>
      </w:r>
    </w:p>
    <w:p w14:paraId="6445688C" w14:textId="7487393B" w:rsidR="00D25834" w:rsidRPr="00D738B3" w:rsidRDefault="000D0597" w:rsidP="000D0597">
      <w:pPr>
        <w:widowControl/>
        <w:wordWrap/>
        <w:autoSpaceDE/>
        <w:autoSpaceDN/>
        <w:rPr>
          <w:rFonts w:ascii="Times New Roman" w:eastAsia="Times New Roman" w:hAnsi="Times New Roman" w:cs="Times New Roman"/>
          <w:b/>
          <w:bCs/>
          <w:kern w:val="0"/>
          <w:szCs w:val="24"/>
          <w:lang w:val="en-GB" w:eastAsia="de-DE"/>
        </w:rPr>
      </w:pPr>
      <w:r w:rsidRPr="00D738B3">
        <w:rPr>
          <w:rFonts w:ascii="Times New Roman" w:eastAsia="SimSun" w:hAnsi="Times New Roman" w:cs="Times New Roman"/>
          <w:b/>
          <w:bCs/>
          <w:kern w:val="0"/>
          <w:sz w:val="18"/>
          <w:szCs w:val="18"/>
          <w:lang w:val="en-GB" w:eastAsia="de-DE"/>
        </w:rPr>
        <w:t>Fig</w:t>
      </w:r>
      <w:r w:rsidRPr="00D738B3">
        <w:rPr>
          <w:rFonts w:ascii="Times New Roman" w:eastAsia="Times New Roman" w:hAnsi="Times New Roman" w:cs="Times New Roman"/>
          <w:b/>
          <w:bCs/>
          <w:kern w:val="0"/>
          <w:szCs w:val="24"/>
          <w:lang w:val="en-GB" w:eastAsia="de-DE"/>
        </w:rPr>
        <w:t>ure</w:t>
      </w:r>
      <w:r w:rsidRPr="00D738B3">
        <w:rPr>
          <w:rFonts w:ascii="Times New Roman" w:eastAsia="SimSun" w:hAnsi="Times New Roman" w:cs="Times New Roman"/>
          <w:b/>
          <w:bCs/>
          <w:kern w:val="0"/>
          <w:sz w:val="18"/>
          <w:szCs w:val="18"/>
          <w:lang w:val="en-GB" w:eastAsia="de-DE"/>
        </w:rPr>
        <w:t xml:space="preserve"> </w:t>
      </w:r>
      <w:r w:rsidRPr="00D738B3">
        <w:rPr>
          <w:rFonts w:ascii="Times New Roman" w:eastAsia="SimSun" w:hAnsi="Times New Roman" w:cs="Times New Roman"/>
          <w:b/>
          <w:bCs/>
          <w:kern w:val="0"/>
          <w:sz w:val="18"/>
          <w:szCs w:val="18"/>
          <w:lang w:val="en-GB" w:eastAsia="de-DE"/>
        </w:rPr>
        <w:fldChar w:fldCharType="begin"/>
      </w:r>
      <w:r w:rsidRPr="00D738B3">
        <w:rPr>
          <w:rFonts w:ascii="Times New Roman" w:eastAsia="SimSun" w:hAnsi="Times New Roman" w:cs="Times New Roman"/>
          <w:b/>
          <w:bCs/>
          <w:kern w:val="0"/>
          <w:sz w:val="18"/>
          <w:szCs w:val="18"/>
          <w:lang w:val="en-GB" w:eastAsia="de-DE"/>
        </w:rPr>
        <w:instrText xml:space="preserve"> SEQ Fig. \* ARABIC </w:instrText>
      </w:r>
      <w:r w:rsidRPr="00D738B3">
        <w:rPr>
          <w:rFonts w:ascii="Times New Roman" w:eastAsia="SimSun" w:hAnsi="Times New Roman" w:cs="Times New Roman"/>
          <w:b/>
          <w:bCs/>
          <w:kern w:val="0"/>
          <w:sz w:val="18"/>
          <w:szCs w:val="18"/>
          <w:lang w:val="en-GB" w:eastAsia="de-DE"/>
        </w:rPr>
        <w:fldChar w:fldCharType="separate"/>
      </w:r>
      <w:r w:rsidRPr="00D738B3">
        <w:rPr>
          <w:rFonts w:ascii="Times New Roman" w:eastAsia="SimSun" w:hAnsi="Times New Roman" w:cs="Times New Roman"/>
          <w:b/>
          <w:bCs/>
          <w:noProof/>
          <w:kern w:val="0"/>
          <w:sz w:val="18"/>
          <w:szCs w:val="18"/>
          <w:lang w:val="en-GB" w:eastAsia="de-DE"/>
        </w:rPr>
        <w:t>5</w:t>
      </w:r>
      <w:r w:rsidRPr="00D738B3">
        <w:rPr>
          <w:rFonts w:ascii="Times New Roman" w:eastAsia="SimSun" w:hAnsi="Times New Roman" w:cs="Times New Roman"/>
          <w:b/>
          <w:bCs/>
          <w:kern w:val="0"/>
          <w:sz w:val="18"/>
          <w:szCs w:val="18"/>
          <w:lang w:val="en-GB" w:eastAsia="de-DE"/>
        </w:rPr>
        <w:fldChar w:fldCharType="end"/>
      </w:r>
      <w:r w:rsidRPr="00D738B3">
        <w:rPr>
          <w:rFonts w:ascii="Times New Roman" w:eastAsia="SimSun" w:hAnsi="Times New Roman" w:cs="Times New Roman"/>
          <w:b/>
          <w:bCs/>
          <w:kern w:val="0"/>
          <w:szCs w:val="24"/>
          <w:lang w:val="en-GB" w:eastAsia="de-DE"/>
        </w:rPr>
        <w:t xml:space="preserve">: </w:t>
      </w:r>
      <w:r w:rsidRPr="00D738B3">
        <w:rPr>
          <w:rFonts w:ascii="Times New Roman" w:eastAsia="Times New Roman" w:hAnsi="Times New Roman" w:cs="Times New Roman"/>
          <w:b/>
          <w:bCs/>
          <w:kern w:val="0"/>
          <w:szCs w:val="24"/>
          <w:lang w:val="en-GB" w:eastAsia="de-DE"/>
        </w:rPr>
        <w:t xml:space="preserve">Spatial distributions of (a, d, g) the Prior emissions, (b, e, h) the </w:t>
      </w:r>
      <w:proofErr w:type="spellStart"/>
      <w:r w:rsidRPr="00D738B3">
        <w:rPr>
          <w:rFonts w:ascii="Times New Roman" w:eastAsia="Times New Roman" w:hAnsi="Times New Roman" w:cs="Times New Roman"/>
          <w:b/>
          <w:bCs/>
          <w:kern w:val="0"/>
          <w:szCs w:val="24"/>
          <w:lang w:val="en-GB" w:eastAsia="de-DE"/>
        </w:rPr>
        <w:t>Hybrid_NOx+VOC</w:t>
      </w:r>
      <w:proofErr w:type="spellEnd"/>
      <w:r w:rsidRPr="00D738B3">
        <w:rPr>
          <w:rFonts w:ascii="Times New Roman" w:eastAsia="Times New Roman" w:hAnsi="Times New Roman" w:cs="Times New Roman"/>
          <w:b/>
          <w:bCs/>
          <w:kern w:val="0"/>
          <w:szCs w:val="24"/>
          <w:lang w:val="en-GB" w:eastAsia="de-DE"/>
        </w:rPr>
        <w:t xml:space="preserve"> emissions, and (c, f, </w:t>
      </w:r>
      <w:proofErr w:type="spellStart"/>
      <w:r w:rsidRPr="00D738B3">
        <w:rPr>
          <w:rFonts w:ascii="Times New Roman" w:eastAsia="Times New Roman" w:hAnsi="Times New Roman" w:cs="Times New Roman"/>
          <w:b/>
          <w:bCs/>
          <w:kern w:val="0"/>
          <w:szCs w:val="24"/>
          <w:lang w:val="en-GB" w:eastAsia="de-DE"/>
        </w:rPr>
        <w:t>i</w:t>
      </w:r>
      <w:proofErr w:type="spellEnd"/>
      <w:r w:rsidRPr="00D738B3">
        <w:rPr>
          <w:rFonts w:ascii="Times New Roman" w:eastAsia="Times New Roman" w:hAnsi="Times New Roman" w:cs="Times New Roman"/>
          <w:b/>
          <w:bCs/>
          <w:kern w:val="0"/>
          <w:szCs w:val="24"/>
          <w:lang w:val="en-GB" w:eastAsia="de-DE"/>
        </w:rPr>
        <w:t>) the corresponding analysis increments (</w:t>
      </w:r>
      <w:proofErr w:type="spellStart"/>
      <w:r w:rsidRPr="00D738B3">
        <w:rPr>
          <w:rFonts w:ascii="Times New Roman" w:eastAsia="Times New Roman" w:hAnsi="Times New Roman" w:cs="Times New Roman"/>
          <w:b/>
          <w:bCs/>
          <w:kern w:val="0"/>
          <w:szCs w:val="24"/>
          <w:lang w:val="en-GB" w:eastAsia="de-DE"/>
        </w:rPr>
        <w:t>Hybrid_NOx+VOC</w:t>
      </w:r>
      <w:proofErr w:type="spellEnd"/>
      <w:r w:rsidRPr="00D738B3">
        <w:rPr>
          <w:rFonts w:ascii="Times New Roman" w:eastAsia="Times New Roman" w:hAnsi="Times New Roman" w:cs="Times New Roman"/>
          <w:b/>
          <w:bCs/>
          <w:kern w:val="0"/>
          <w:szCs w:val="24"/>
          <w:lang w:val="en-GB" w:eastAsia="de-DE"/>
        </w:rPr>
        <w:t xml:space="preserve"> – Prior) for NOx, AVOC, and BVOC, respectively, averaged over the study period.</w:t>
      </w:r>
    </w:p>
    <w:p w14:paraId="104F6C16" w14:textId="77777777" w:rsidR="00144DF8" w:rsidRPr="00144DF8" w:rsidRDefault="00144DF8" w:rsidP="00144DF8">
      <w:pPr>
        <w:keepNext/>
        <w:widowControl/>
        <w:wordWrap/>
        <w:autoSpaceDE/>
        <w:autoSpaceDN/>
        <w:spacing w:after="0" w:line="360" w:lineRule="auto"/>
        <w:rPr>
          <w:rFonts w:ascii="Times New Roman" w:eastAsia="Times New Roman" w:hAnsi="Times New Roman" w:cs="Times New Roman"/>
          <w:kern w:val="0"/>
          <w:szCs w:val="24"/>
          <w:lang w:val="en-GB" w:eastAsia="de-DE"/>
        </w:rPr>
      </w:pPr>
      <w:r w:rsidRPr="00144DF8">
        <w:rPr>
          <w:rFonts w:ascii="Times New Roman" w:eastAsia="맑은 고딕" w:hAnsi="Times New Roman" w:cs="Times New Roman"/>
          <w:noProof/>
          <w:kern w:val="0"/>
          <w:sz w:val="24"/>
          <w:szCs w:val="24"/>
          <w:lang w:val="en-GB" w:eastAsia="de-DE"/>
        </w:rPr>
        <w:lastRenderedPageBreak/>
        <w:drawing>
          <wp:inline distT="0" distB="0" distL="0" distR="0" wp14:anchorId="4F1B5170" wp14:editId="2091A7C5">
            <wp:extent cx="5704829" cy="2121408"/>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7838" cy="2133683"/>
                    </a:xfrm>
                    <a:prstGeom prst="rect">
                      <a:avLst/>
                    </a:prstGeom>
                    <a:noFill/>
                  </pic:spPr>
                </pic:pic>
              </a:graphicData>
            </a:graphic>
          </wp:inline>
        </w:drawing>
      </w:r>
    </w:p>
    <w:p w14:paraId="51F23BEB" w14:textId="77777777" w:rsidR="00144DF8" w:rsidRPr="00144DF8" w:rsidRDefault="00144DF8" w:rsidP="00144DF8">
      <w:pPr>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144DF8">
        <w:rPr>
          <w:rFonts w:ascii="Times New Roman" w:eastAsia="Times New Roman" w:hAnsi="Times New Roman" w:cs="Times New Roman"/>
          <w:b/>
          <w:bCs/>
          <w:kern w:val="0"/>
          <w:sz w:val="18"/>
          <w:szCs w:val="18"/>
          <w:lang w:val="en-GB" w:eastAsia="de-DE"/>
        </w:rPr>
        <w:t xml:space="preserve">Figure S4: Spatial distributions of (a) the Prior emissions, (b) the </w:t>
      </w:r>
      <w:proofErr w:type="spellStart"/>
      <w:r w:rsidRPr="00144DF8">
        <w:rPr>
          <w:rFonts w:ascii="Times New Roman" w:eastAsia="Times New Roman" w:hAnsi="Times New Roman" w:cs="Times New Roman"/>
          <w:b/>
          <w:bCs/>
          <w:kern w:val="0"/>
          <w:sz w:val="18"/>
          <w:szCs w:val="18"/>
          <w:lang w:val="en-GB" w:eastAsia="de-DE"/>
        </w:rPr>
        <w:t>Hybrid_NOx</w:t>
      </w:r>
      <w:proofErr w:type="spellEnd"/>
      <w:r w:rsidRPr="00144DF8">
        <w:rPr>
          <w:rFonts w:ascii="Times New Roman" w:eastAsia="Times New Roman" w:hAnsi="Times New Roman" w:cs="Times New Roman"/>
          <w:b/>
          <w:bCs/>
          <w:kern w:val="0"/>
          <w:sz w:val="18"/>
          <w:szCs w:val="18"/>
          <w:lang w:val="en-GB" w:eastAsia="de-DE"/>
        </w:rPr>
        <w:t xml:space="preserve"> emissions, and (c) the corresponding analysis increments (</w:t>
      </w:r>
      <w:proofErr w:type="spellStart"/>
      <w:r w:rsidRPr="00144DF8">
        <w:rPr>
          <w:rFonts w:ascii="Times New Roman" w:eastAsia="Times New Roman" w:hAnsi="Times New Roman" w:cs="Times New Roman"/>
          <w:b/>
          <w:bCs/>
          <w:kern w:val="0"/>
          <w:sz w:val="18"/>
          <w:szCs w:val="18"/>
          <w:lang w:val="en-GB" w:eastAsia="de-DE"/>
        </w:rPr>
        <w:t>Hybrid_NOx</w:t>
      </w:r>
      <w:proofErr w:type="spellEnd"/>
      <w:r w:rsidRPr="00144DF8">
        <w:rPr>
          <w:rFonts w:ascii="Times New Roman" w:eastAsia="Times New Roman" w:hAnsi="Times New Roman" w:cs="Times New Roman"/>
          <w:b/>
          <w:bCs/>
          <w:kern w:val="0"/>
          <w:sz w:val="18"/>
          <w:szCs w:val="18"/>
          <w:lang w:val="en-GB" w:eastAsia="de-DE"/>
        </w:rPr>
        <w:t xml:space="preserve"> – Prior) for NO</w:t>
      </w:r>
      <w:r w:rsidRPr="00144DF8">
        <w:rPr>
          <w:rFonts w:ascii="Times New Roman" w:eastAsia="Times New Roman" w:hAnsi="Times New Roman" w:cs="Times New Roman"/>
          <w:b/>
          <w:bCs/>
          <w:kern w:val="0"/>
          <w:sz w:val="18"/>
          <w:szCs w:val="18"/>
          <w:vertAlign w:val="subscript"/>
          <w:lang w:val="en-GB" w:eastAsia="de-DE"/>
        </w:rPr>
        <w:t>x</w:t>
      </w:r>
      <w:r w:rsidRPr="00144DF8">
        <w:rPr>
          <w:rFonts w:ascii="Times New Roman" w:eastAsia="Times New Roman" w:hAnsi="Times New Roman" w:cs="Times New Roman"/>
          <w:b/>
          <w:bCs/>
          <w:kern w:val="0"/>
          <w:sz w:val="18"/>
          <w:szCs w:val="18"/>
          <w:lang w:val="en-GB" w:eastAsia="de-DE"/>
        </w:rPr>
        <w:t>, averaged over the study period.</w:t>
      </w:r>
    </w:p>
    <w:p w14:paraId="78C63AE3" w14:textId="73973A89" w:rsidR="008B2BDA" w:rsidRDefault="008B2BDA">
      <w:pPr>
        <w:widowControl/>
        <w:wordWrap/>
        <w:autoSpaceDE/>
        <w:autoSpaceDN/>
        <w:rPr>
          <w:rFonts w:ascii="Times New Roman" w:eastAsia="Times New Roman" w:hAnsi="Times New Roman" w:cs="Times New Roman"/>
          <w:kern w:val="0"/>
          <w:szCs w:val="24"/>
          <w:lang w:val="en-GB" w:eastAsia="de-DE"/>
        </w:rPr>
      </w:pPr>
      <w:r>
        <w:rPr>
          <w:rFonts w:ascii="Times New Roman" w:eastAsia="Times New Roman" w:hAnsi="Times New Roman" w:cs="Times New Roman"/>
          <w:kern w:val="0"/>
          <w:szCs w:val="24"/>
          <w:lang w:val="en-GB" w:eastAsia="de-DE"/>
        </w:rPr>
        <w:br w:type="page"/>
      </w:r>
    </w:p>
    <w:p w14:paraId="0BAD7D0E" w14:textId="518CCF1C" w:rsidR="00144DF8" w:rsidRDefault="008B2BDA" w:rsidP="00784E96">
      <w:pPr>
        <w:widowControl/>
        <w:wordWrap/>
        <w:autoSpaceDE/>
        <w:autoSpaceDN/>
        <w:spacing w:after="0" w:line="240" w:lineRule="auto"/>
        <w:jc w:val="left"/>
        <w:rPr>
          <w:rFonts w:ascii="Times New Roman" w:hAnsi="Times New Roman" w:cs="Times New Roman"/>
          <w:b/>
          <w:bCs/>
          <w:kern w:val="0"/>
          <w:sz w:val="24"/>
          <w:szCs w:val="32"/>
          <w:u w:val="single"/>
          <w:lang w:val="en-GB"/>
        </w:rPr>
      </w:pPr>
      <w:r w:rsidRPr="008B2BDA">
        <w:rPr>
          <w:rFonts w:ascii="Times New Roman" w:hAnsi="Times New Roman" w:cs="Times New Roman" w:hint="eastAsia"/>
          <w:b/>
          <w:bCs/>
          <w:kern w:val="0"/>
          <w:sz w:val="24"/>
          <w:szCs w:val="32"/>
          <w:u w:val="single"/>
          <w:lang w:val="en-GB"/>
        </w:rPr>
        <w:lastRenderedPageBreak/>
        <w:t>R</w:t>
      </w:r>
      <w:r w:rsidRPr="008B2BDA">
        <w:rPr>
          <w:rFonts w:ascii="Times New Roman" w:hAnsi="Times New Roman" w:cs="Times New Roman"/>
          <w:b/>
          <w:bCs/>
          <w:kern w:val="0"/>
          <w:sz w:val="24"/>
          <w:szCs w:val="32"/>
          <w:u w:val="single"/>
          <w:lang w:val="en-GB"/>
        </w:rPr>
        <w:t>eferences</w:t>
      </w:r>
    </w:p>
    <w:p w14:paraId="11EEC1C1" w14:textId="77777777" w:rsidR="00CC129D" w:rsidRDefault="00CC129D" w:rsidP="00784E96">
      <w:pPr>
        <w:widowControl/>
        <w:wordWrap/>
        <w:autoSpaceDE/>
        <w:autoSpaceDN/>
        <w:spacing w:after="0" w:line="240" w:lineRule="auto"/>
        <w:jc w:val="left"/>
        <w:rPr>
          <w:rFonts w:ascii="Times New Roman" w:hAnsi="Times New Roman" w:cs="Times New Roman"/>
          <w:b/>
          <w:bCs/>
          <w:kern w:val="0"/>
          <w:sz w:val="24"/>
          <w:szCs w:val="32"/>
          <w:u w:val="single"/>
          <w:lang w:val="en-GB"/>
        </w:rPr>
      </w:pPr>
    </w:p>
    <w:p w14:paraId="102DC5BB" w14:textId="6F27BDA7" w:rsidR="00CC129D" w:rsidRPr="00CC129D" w:rsidRDefault="00CC129D" w:rsidP="00CC129D">
      <w:pPr>
        <w:widowControl/>
        <w:wordWrap/>
        <w:autoSpaceDE/>
        <w:autoSpaceDN/>
        <w:spacing w:after="0"/>
        <w:ind w:left="240" w:hangingChars="100" w:hanging="240"/>
        <w:jc w:val="left"/>
        <w:rPr>
          <w:rFonts w:ascii="Palatino Linotype" w:hAnsi="Palatino Linotype" w:cs="Times New Roman"/>
          <w:sz w:val="24"/>
          <w:szCs w:val="28"/>
          <w:shd w:val="clear" w:color="auto" w:fill="FFFFFF"/>
        </w:rPr>
      </w:pPr>
      <w:r w:rsidRPr="00CC129D">
        <w:rPr>
          <w:rFonts w:ascii="Palatino Linotype" w:hAnsi="Palatino Linotype" w:cs="Times New Roman"/>
          <w:sz w:val="24"/>
          <w:szCs w:val="28"/>
          <w:shd w:val="clear" w:color="auto" w:fill="FFFFFF"/>
        </w:rPr>
        <w:t xml:space="preserve">Atkinson, R. and </w:t>
      </w:r>
      <w:proofErr w:type="spellStart"/>
      <w:r w:rsidRPr="00CC129D">
        <w:rPr>
          <w:rFonts w:ascii="Palatino Linotype" w:hAnsi="Palatino Linotype" w:cs="Times New Roman"/>
          <w:sz w:val="24"/>
          <w:szCs w:val="28"/>
          <w:shd w:val="clear" w:color="auto" w:fill="FFFFFF"/>
        </w:rPr>
        <w:t>Arey</w:t>
      </w:r>
      <w:proofErr w:type="spellEnd"/>
      <w:r w:rsidRPr="00CC129D">
        <w:rPr>
          <w:rFonts w:ascii="Palatino Linotype" w:hAnsi="Palatino Linotype" w:cs="Times New Roman"/>
          <w:sz w:val="24"/>
          <w:szCs w:val="28"/>
          <w:shd w:val="clear" w:color="auto" w:fill="FFFFFF"/>
        </w:rPr>
        <w:t>, J.: Gas-phase tropospheric chemistry of biogenic volatile organic compounds: a review, Atmos. Environ., 37(2), 197–219, https://doi.org/10.1016/S1352-2310(03)00391-1, 2003.</w:t>
      </w:r>
    </w:p>
    <w:p w14:paraId="7D6553D2" w14:textId="4161D6B6" w:rsidR="00CC129D" w:rsidRPr="00CC129D" w:rsidRDefault="00CC129D" w:rsidP="00CC129D">
      <w:pPr>
        <w:widowControl/>
        <w:wordWrap/>
        <w:autoSpaceDE/>
        <w:autoSpaceDN/>
        <w:spacing w:after="0"/>
        <w:ind w:left="240" w:hangingChars="100" w:hanging="240"/>
        <w:jc w:val="left"/>
        <w:rPr>
          <w:rFonts w:ascii="Palatino Linotype" w:hAnsi="Palatino Linotype" w:cs="Times New Roman"/>
          <w:sz w:val="24"/>
          <w:szCs w:val="28"/>
          <w:shd w:val="clear" w:color="auto" w:fill="FFFFFF"/>
        </w:rPr>
      </w:pPr>
      <w:r w:rsidRPr="00CC129D">
        <w:rPr>
          <w:rFonts w:ascii="Palatino Linotype" w:hAnsi="Palatino Linotype" w:cs="Times New Roman"/>
          <w:sz w:val="24"/>
          <w:szCs w:val="28"/>
          <w:shd w:val="clear" w:color="auto" w:fill="FFFFFF"/>
        </w:rPr>
        <w:t xml:space="preserve">Choi, J., </w:t>
      </w:r>
      <w:proofErr w:type="spellStart"/>
      <w:r w:rsidRPr="00CC129D">
        <w:rPr>
          <w:rFonts w:ascii="Palatino Linotype" w:hAnsi="Palatino Linotype" w:cs="Times New Roman"/>
          <w:sz w:val="24"/>
          <w:szCs w:val="28"/>
          <w:shd w:val="clear" w:color="auto" w:fill="FFFFFF"/>
        </w:rPr>
        <w:t>Henze</w:t>
      </w:r>
      <w:proofErr w:type="spellEnd"/>
      <w:r w:rsidRPr="00CC129D">
        <w:rPr>
          <w:rFonts w:ascii="Palatino Linotype" w:hAnsi="Palatino Linotype" w:cs="Times New Roman"/>
          <w:sz w:val="24"/>
          <w:szCs w:val="28"/>
          <w:shd w:val="clear" w:color="auto" w:fill="FFFFFF"/>
        </w:rPr>
        <w:t xml:space="preserve">, D. K., Wells, K. C., and Millet, D. B.: Joint inversion of satellite-based isoprene and formaldehyde observations to constrain emissions of nonmethane volatile organic compounds, J. </w:t>
      </w:r>
      <w:proofErr w:type="spellStart"/>
      <w:r w:rsidRPr="00CC129D">
        <w:rPr>
          <w:rFonts w:ascii="Palatino Linotype" w:hAnsi="Palatino Linotype" w:cs="Times New Roman"/>
          <w:sz w:val="24"/>
          <w:szCs w:val="28"/>
          <w:shd w:val="clear" w:color="auto" w:fill="FFFFFF"/>
        </w:rPr>
        <w:t>Geophys</w:t>
      </w:r>
      <w:proofErr w:type="spellEnd"/>
      <w:r w:rsidRPr="00CC129D">
        <w:rPr>
          <w:rFonts w:ascii="Palatino Linotype" w:hAnsi="Palatino Linotype" w:cs="Times New Roman"/>
          <w:sz w:val="24"/>
          <w:szCs w:val="28"/>
          <w:shd w:val="clear" w:color="auto" w:fill="FFFFFF"/>
        </w:rPr>
        <w:t>. Res. Atmos., 130, e2024JD042070, https://doi.org/10.1029/2024JD042070, 2025.</w:t>
      </w:r>
    </w:p>
    <w:p w14:paraId="45C10184" w14:textId="500E4A92" w:rsidR="00CC129D" w:rsidRPr="00CC129D" w:rsidRDefault="00CC129D" w:rsidP="00CC129D">
      <w:pPr>
        <w:widowControl/>
        <w:wordWrap/>
        <w:autoSpaceDE/>
        <w:autoSpaceDN/>
        <w:spacing w:after="0"/>
        <w:ind w:left="240" w:hangingChars="100" w:hanging="240"/>
        <w:jc w:val="left"/>
        <w:rPr>
          <w:rFonts w:ascii="Palatino Linotype" w:hAnsi="Palatino Linotype" w:cs="Times New Roman"/>
          <w:sz w:val="24"/>
          <w:szCs w:val="28"/>
          <w:shd w:val="clear" w:color="auto" w:fill="FFFFFF"/>
        </w:rPr>
      </w:pPr>
      <w:r w:rsidRPr="00CC129D">
        <w:rPr>
          <w:rFonts w:ascii="Palatino Linotype" w:hAnsi="Palatino Linotype" w:cs="Times New Roman"/>
          <w:sz w:val="24"/>
          <w:szCs w:val="28"/>
          <w:shd w:val="clear" w:color="auto" w:fill="FFFFFF"/>
        </w:rPr>
        <w:t xml:space="preserve">East, J. D., Henderson, B. H., </w:t>
      </w:r>
      <w:proofErr w:type="spellStart"/>
      <w:r w:rsidRPr="00CC129D">
        <w:rPr>
          <w:rFonts w:ascii="Palatino Linotype" w:hAnsi="Palatino Linotype" w:cs="Times New Roman"/>
          <w:sz w:val="24"/>
          <w:szCs w:val="28"/>
          <w:shd w:val="clear" w:color="auto" w:fill="FFFFFF"/>
        </w:rPr>
        <w:t>Napelenok</w:t>
      </w:r>
      <w:proofErr w:type="spellEnd"/>
      <w:r w:rsidRPr="00CC129D">
        <w:rPr>
          <w:rFonts w:ascii="Palatino Linotype" w:hAnsi="Palatino Linotype" w:cs="Times New Roman"/>
          <w:sz w:val="24"/>
          <w:szCs w:val="28"/>
          <w:shd w:val="clear" w:color="auto" w:fill="FFFFFF"/>
        </w:rPr>
        <w:t xml:space="preserve">, S. L., </w:t>
      </w:r>
      <w:proofErr w:type="spellStart"/>
      <w:r w:rsidRPr="00CC129D">
        <w:rPr>
          <w:rFonts w:ascii="Palatino Linotype" w:hAnsi="Palatino Linotype" w:cs="Times New Roman"/>
          <w:sz w:val="24"/>
          <w:szCs w:val="28"/>
          <w:shd w:val="clear" w:color="auto" w:fill="FFFFFF"/>
        </w:rPr>
        <w:t>Koplitz</w:t>
      </w:r>
      <w:proofErr w:type="spellEnd"/>
      <w:r w:rsidRPr="00CC129D">
        <w:rPr>
          <w:rFonts w:ascii="Palatino Linotype" w:hAnsi="Palatino Linotype" w:cs="Times New Roman"/>
          <w:sz w:val="24"/>
          <w:szCs w:val="28"/>
          <w:shd w:val="clear" w:color="auto" w:fill="FFFFFF"/>
        </w:rPr>
        <w:t xml:space="preserve">, S. N., Sarwar, G., Gilliam, R., </w:t>
      </w:r>
      <w:proofErr w:type="spellStart"/>
      <w:r w:rsidRPr="00CC129D">
        <w:rPr>
          <w:rFonts w:ascii="Palatino Linotype" w:hAnsi="Palatino Linotype" w:cs="Times New Roman"/>
          <w:sz w:val="24"/>
          <w:szCs w:val="28"/>
          <w:shd w:val="clear" w:color="auto" w:fill="FFFFFF"/>
        </w:rPr>
        <w:t>Lenzen</w:t>
      </w:r>
      <w:proofErr w:type="spellEnd"/>
      <w:r w:rsidRPr="00CC129D">
        <w:rPr>
          <w:rFonts w:ascii="Palatino Linotype" w:hAnsi="Palatino Linotype" w:cs="Times New Roman"/>
          <w:sz w:val="24"/>
          <w:szCs w:val="28"/>
          <w:shd w:val="clear" w:color="auto" w:fill="FFFFFF"/>
        </w:rPr>
        <w:t>, A., Tong, D. Q., Pierce, R. B., and Garcia-Menendez, F.: Inferring and evaluating satellite-based constraints on NOx emissions estimates in air quality simulations, Atmos. Chem. Phys., 22, 15981–16001, https://doi.org/10.5194/acp-22-15981-2022, 2022.</w:t>
      </w:r>
    </w:p>
    <w:p w14:paraId="4E49ADE5" w14:textId="41100636" w:rsidR="00CC129D" w:rsidRPr="00CC129D" w:rsidRDefault="00CC129D" w:rsidP="00CC129D">
      <w:pPr>
        <w:widowControl/>
        <w:wordWrap/>
        <w:autoSpaceDE/>
        <w:autoSpaceDN/>
        <w:spacing w:after="0"/>
        <w:ind w:left="240" w:hangingChars="100" w:hanging="240"/>
        <w:jc w:val="left"/>
        <w:rPr>
          <w:rFonts w:ascii="Palatino Linotype" w:hAnsi="Palatino Linotype" w:cs="Times New Roman"/>
          <w:sz w:val="24"/>
          <w:szCs w:val="28"/>
          <w:shd w:val="clear" w:color="auto" w:fill="FFFFFF"/>
        </w:rPr>
      </w:pPr>
      <w:proofErr w:type="spellStart"/>
      <w:r w:rsidRPr="00CC129D">
        <w:rPr>
          <w:rFonts w:ascii="Palatino Linotype" w:hAnsi="Palatino Linotype" w:cs="Times New Roman"/>
          <w:sz w:val="24"/>
          <w:szCs w:val="28"/>
          <w:shd w:val="clear" w:color="auto" w:fill="FFFFFF"/>
        </w:rPr>
        <w:t>Kurpius</w:t>
      </w:r>
      <w:proofErr w:type="spellEnd"/>
      <w:r w:rsidRPr="00CC129D">
        <w:rPr>
          <w:rFonts w:ascii="Palatino Linotype" w:hAnsi="Palatino Linotype" w:cs="Times New Roman"/>
          <w:sz w:val="24"/>
          <w:szCs w:val="28"/>
          <w:shd w:val="clear" w:color="auto" w:fill="FFFFFF"/>
        </w:rPr>
        <w:t>, M. R. and Goldstein, A. H.: Gas-phase chemistry dominates O</w:t>
      </w:r>
      <w:r w:rsidRPr="00CC129D">
        <w:rPr>
          <w:rFonts w:ascii="Palatino Linotype" w:hAnsi="Palatino Linotype" w:cs="Times New Roman"/>
          <w:sz w:val="24"/>
          <w:szCs w:val="28"/>
          <w:shd w:val="clear" w:color="auto" w:fill="FFFFFF"/>
          <w:vertAlign w:val="subscript"/>
        </w:rPr>
        <w:t>3</w:t>
      </w:r>
      <w:r w:rsidRPr="00CC129D">
        <w:rPr>
          <w:rFonts w:ascii="Palatino Linotype" w:hAnsi="Palatino Linotype" w:cs="Times New Roman"/>
          <w:sz w:val="24"/>
          <w:szCs w:val="28"/>
          <w:shd w:val="clear" w:color="auto" w:fill="FFFFFF"/>
        </w:rPr>
        <w:t xml:space="preserve"> loss to a forest, implying a source of aerosols and hydroxyl radicals to the atmosphere, </w:t>
      </w:r>
      <w:proofErr w:type="spellStart"/>
      <w:r w:rsidRPr="00CC129D">
        <w:rPr>
          <w:rFonts w:ascii="Palatino Linotype" w:hAnsi="Palatino Linotype" w:cs="Times New Roman"/>
          <w:sz w:val="24"/>
          <w:szCs w:val="28"/>
          <w:shd w:val="clear" w:color="auto" w:fill="FFFFFF"/>
        </w:rPr>
        <w:t>Geophys</w:t>
      </w:r>
      <w:proofErr w:type="spellEnd"/>
      <w:r w:rsidRPr="00CC129D">
        <w:rPr>
          <w:rFonts w:ascii="Palatino Linotype" w:hAnsi="Palatino Linotype" w:cs="Times New Roman"/>
          <w:sz w:val="24"/>
          <w:szCs w:val="28"/>
          <w:shd w:val="clear" w:color="auto" w:fill="FFFFFF"/>
        </w:rPr>
        <w:t>. Res. Lett., 30, 1371, https://doi.org/10.1029/2002GL016785, 2003.</w:t>
      </w:r>
    </w:p>
    <w:p w14:paraId="695B6D24" w14:textId="0F87AA0D" w:rsidR="00CC129D" w:rsidRPr="00CC129D" w:rsidRDefault="00CC129D" w:rsidP="00CC129D">
      <w:pPr>
        <w:widowControl/>
        <w:wordWrap/>
        <w:autoSpaceDE/>
        <w:autoSpaceDN/>
        <w:spacing w:after="0"/>
        <w:ind w:left="240" w:hangingChars="100" w:hanging="240"/>
        <w:jc w:val="left"/>
        <w:rPr>
          <w:rFonts w:ascii="Palatino Linotype" w:hAnsi="Palatino Linotype" w:cs="Times New Roman"/>
          <w:sz w:val="24"/>
          <w:szCs w:val="28"/>
          <w:shd w:val="clear" w:color="auto" w:fill="FFFFFF"/>
        </w:rPr>
      </w:pPr>
      <w:r w:rsidRPr="00CC129D">
        <w:rPr>
          <w:rFonts w:ascii="Palatino Linotype" w:hAnsi="Palatino Linotype" w:cs="Times New Roman"/>
          <w:sz w:val="24"/>
          <w:szCs w:val="28"/>
          <w:shd w:val="clear" w:color="auto" w:fill="FFFFFF"/>
        </w:rPr>
        <w:t>Moon, J.: Inverse Modeling for Constraining Spatiotemporal Distributions of Emissions, PhD thesis, Pusan National University, Busan, South Korea, https://doi.org/10.23172/pusan.000000167548.21016.0000787, 2025.</w:t>
      </w:r>
    </w:p>
    <w:p w14:paraId="31AD9F63" w14:textId="2A834756" w:rsidR="00CC129D" w:rsidRPr="00CC129D" w:rsidRDefault="00CC129D" w:rsidP="00CC129D">
      <w:pPr>
        <w:widowControl/>
        <w:wordWrap/>
        <w:autoSpaceDE/>
        <w:autoSpaceDN/>
        <w:spacing w:after="0"/>
        <w:ind w:left="240" w:hangingChars="100" w:hanging="240"/>
        <w:jc w:val="left"/>
        <w:rPr>
          <w:rFonts w:ascii="Palatino Linotype" w:hAnsi="Palatino Linotype" w:cs="Times New Roman"/>
          <w:sz w:val="24"/>
          <w:szCs w:val="28"/>
          <w:shd w:val="clear" w:color="auto" w:fill="FFFFFF"/>
        </w:rPr>
      </w:pPr>
      <w:r w:rsidRPr="00CC129D">
        <w:rPr>
          <w:rFonts w:ascii="Palatino Linotype" w:hAnsi="Palatino Linotype" w:cs="Times New Roman"/>
          <w:sz w:val="24"/>
          <w:szCs w:val="28"/>
          <w:shd w:val="clear" w:color="auto" w:fill="FFFFFF"/>
        </w:rPr>
        <w:t xml:space="preserve">Moon, J., Choi, Y., Jeon, W., Kim, H. C., </w:t>
      </w:r>
      <w:proofErr w:type="spellStart"/>
      <w:r w:rsidRPr="00CC129D">
        <w:rPr>
          <w:rFonts w:ascii="Palatino Linotype" w:hAnsi="Palatino Linotype" w:cs="Times New Roman"/>
          <w:sz w:val="24"/>
          <w:szCs w:val="28"/>
          <w:shd w:val="clear" w:color="auto" w:fill="FFFFFF"/>
        </w:rPr>
        <w:t>Pouyaei</w:t>
      </w:r>
      <w:proofErr w:type="spellEnd"/>
      <w:r w:rsidRPr="00CC129D">
        <w:rPr>
          <w:rFonts w:ascii="Palatino Linotype" w:hAnsi="Palatino Linotype" w:cs="Times New Roman"/>
          <w:sz w:val="24"/>
          <w:szCs w:val="28"/>
          <w:shd w:val="clear" w:color="auto" w:fill="FFFFFF"/>
        </w:rPr>
        <w:t xml:space="preserve">, A., Jung, J., Pan, S., Kim, S., Kim, C.-H., </w:t>
      </w:r>
      <w:proofErr w:type="spellStart"/>
      <w:r w:rsidRPr="00CC129D">
        <w:rPr>
          <w:rFonts w:ascii="Palatino Linotype" w:hAnsi="Palatino Linotype" w:cs="Times New Roman"/>
          <w:sz w:val="24"/>
          <w:szCs w:val="28"/>
          <w:shd w:val="clear" w:color="auto" w:fill="FFFFFF"/>
        </w:rPr>
        <w:t>Bak</w:t>
      </w:r>
      <w:proofErr w:type="spellEnd"/>
      <w:r w:rsidRPr="00CC129D">
        <w:rPr>
          <w:rFonts w:ascii="Palatino Linotype" w:hAnsi="Palatino Linotype" w:cs="Times New Roman"/>
          <w:sz w:val="24"/>
          <w:szCs w:val="28"/>
          <w:shd w:val="clear" w:color="auto" w:fill="FFFFFF"/>
        </w:rPr>
        <w:t xml:space="preserve">, J., </w:t>
      </w:r>
      <w:proofErr w:type="spellStart"/>
      <w:r w:rsidRPr="00CC129D">
        <w:rPr>
          <w:rFonts w:ascii="Palatino Linotype" w:hAnsi="Palatino Linotype" w:cs="Times New Roman"/>
          <w:sz w:val="24"/>
          <w:szCs w:val="28"/>
          <w:shd w:val="clear" w:color="auto" w:fill="FFFFFF"/>
        </w:rPr>
        <w:t>Yoo</w:t>
      </w:r>
      <w:proofErr w:type="spellEnd"/>
      <w:r w:rsidRPr="00CC129D">
        <w:rPr>
          <w:rFonts w:ascii="Palatino Linotype" w:hAnsi="Palatino Linotype" w:cs="Times New Roman"/>
          <w:sz w:val="24"/>
          <w:szCs w:val="28"/>
          <w:shd w:val="clear" w:color="auto" w:fill="FFFFFF"/>
        </w:rPr>
        <w:t>, J.-W., Park, J., and Kim, D.: Hybrid IFDMB/4D-Var inverse modeling to constrain the spatiotemporal distribution of CO and NO</w:t>
      </w:r>
      <w:r w:rsidRPr="00CC129D">
        <w:rPr>
          <w:rFonts w:ascii="Palatino Linotype" w:hAnsi="Palatino Linotype" w:cs="Times New Roman"/>
          <w:sz w:val="24"/>
          <w:szCs w:val="28"/>
          <w:shd w:val="clear" w:color="auto" w:fill="FFFFFF"/>
          <w:vertAlign w:val="subscript"/>
        </w:rPr>
        <w:t>2</w:t>
      </w:r>
      <w:r w:rsidRPr="00CC129D">
        <w:rPr>
          <w:rFonts w:ascii="Palatino Linotype" w:hAnsi="Palatino Linotype" w:cs="Times New Roman"/>
          <w:sz w:val="24"/>
          <w:szCs w:val="28"/>
          <w:shd w:val="clear" w:color="auto" w:fill="FFFFFF"/>
        </w:rPr>
        <w:t xml:space="preserve"> emissions using the CMAQ adjoint model, Atmos. Environ., 327, 120490, https://doi.org/10.1016/j.atmosenv.2024.120490, 2024.</w:t>
      </w:r>
    </w:p>
    <w:p w14:paraId="61A1123B" w14:textId="6D0CC256" w:rsidR="00CC129D" w:rsidRPr="00CC129D" w:rsidRDefault="00CC129D" w:rsidP="00CC129D">
      <w:pPr>
        <w:widowControl/>
        <w:wordWrap/>
        <w:autoSpaceDE/>
        <w:autoSpaceDN/>
        <w:spacing w:after="0"/>
        <w:ind w:left="240" w:hangingChars="100" w:hanging="240"/>
        <w:jc w:val="left"/>
        <w:rPr>
          <w:rFonts w:ascii="Palatino Linotype" w:hAnsi="Palatino Linotype" w:cs="Times New Roman"/>
          <w:sz w:val="24"/>
          <w:szCs w:val="28"/>
          <w:shd w:val="clear" w:color="auto" w:fill="FFFFFF"/>
        </w:rPr>
      </w:pPr>
      <w:r w:rsidRPr="00CC129D">
        <w:rPr>
          <w:rFonts w:ascii="Palatino Linotype" w:hAnsi="Palatino Linotype" w:cs="Times New Roman"/>
          <w:sz w:val="24"/>
          <w:szCs w:val="28"/>
          <w:shd w:val="clear" w:color="auto" w:fill="FFFFFF"/>
        </w:rPr>
        <w:t xml:space="preserve">Wells, K. C. and Millet, D. B.: ROCR isoprene retrievals from the </w:t>
      </w:r>
      <w:proofErr w:type="spellStart"/>
      <w:r w:rsidRPr="00CC129D">
        <w:rPr>
          <w:rFonts w:ascii="Palatino Linotype" w:hAnsi="Palatino Linotype" w:cs="Times New Roman"/>
          <w:sz w:val="24"/>
          <w:szCs w:val="28"/>
          <w:shd w:val="clear" w:color="auto" w:fill="FFFFFF"/>
        </w:rPr>
        <w:t>CrIS</w:t>
      </w:r>
      <w:proofErr w:type="spellEnd"/>
      <w:r w:rsidRPr="00CC129D">
        <w:rPr>
          <w:rFonts w:ascii="Palatino Linotype" w:hAnsi="Palatino Linotype" w:cs="Times New Roman"/>
          <w:sz w:val="24"/>
          <w:szCs w:val="28"/>
          <w:shd w:val="clear" w:color="auto" w:fill="FFFFFF"/>
        </w:rPr>
        <w:t xml:space="preserve"> satellite sensor, Data Repository for the University of Minnesota (DRUM), https://doi.org/10.13020/5n0j-wx73, 2022.</w:t>
      </w:r>
    </w:p>
    <w:p w14:paraId="67D48BE3" w14:textId="7B453FC4" w:rsidR="008B2BDA" w:rsidRPr="00CC129D" w:rsidRDefault="00CC129D" w:rsidP="00CC129D">
      <w:pPr>
        <w:widowControl/>
        <w:wordWrap/>
        <w:autoSpaceDE/>
        <w:autoSpaceDN/>
        <w:spacing w:after="0"/>
        <w:ind w:left="240" w:hangingChars="100" w:hanging="240"/>
        <w:jc w:val="left"/>
        <w:rPr>
          <w:rFonts w:ascii="Times New Roman" w:hAnsi="Times New Roman" w:cs="Times New Roman"/>
          <w:b/>
          <w:bCs/>
          <w:kern w:val="0"/>
          <w:sz w:val="24"/>
          <w:szCs w:val="32"/>
          <w:u w:val="single"/>
          <w:lang w:val="en-GB"/>
        </w:rPr>
      </w:pPr>
      <w:r w:rsidRPr="00CC129D">
        <w:rPr>
          <w:rFonts w:ascii="Palatino Linotype" w:hAnsi="Palatino Linotype" w:cs="Times New Roman"/>
          <w:sz w:val="24"/>
          <w:szCs w:val="28"/>
          <w:shd w:val="clear" w:color="auto" w:fill="FFFFFF"/>
        </w:rPr>
        <w:t xml:space="preserve">Wolfe, G. M., Kaiser, J., </w:t>
      </w:r>
      <w:proofErr w:type="spellStart"/>
      <w:r w:rsidRPr="00CC129D">
        <w:rPr>
          <w:rFonts w:ascii="Palatino Linotype" w:hAnsi="Palatino Linotype" w:cs="Times New Roman"/>
          <w:sz w:val="24"/>
          <w:szCs w:val="28"/>
          <w:shd w:val="clear" w:color="auto" w:fill="FFFFFF"/>
        </w:rPr>
        <w:t>Hanisco</w:t>
      </w:r>
      <w:proofErr w:type="spellEnd"/>
      <w:r w:rsidRPr="00CC129D">
        <w:rPr>
          <w:rFonts w:ascii="Palatino Linotype" w:hAnsi="Palatino Linotype" w:cs="Times New Roman"/>
          <w:sz w:val="24"/>
          <w:szCs w:val="28"/>
          <w:shd w:val="clear" w:color="auto" w:fill="FFFFFF"/>
        </w:rPr>
        <w:t xml:space="preserve">, T. F., </w:t>
      </w:r>
      <w:proofErr w:type="spellStart"/>
      <w:r w:rsidRPr="00CC129D">
        <w:rPr>
          <w:rFonts w:ascii="Palatino Linotype" w:hAnsi="Palatino Linotype" w:cs="Times New Roman"/>
          <w:sz w:val="24"/>
          <w:szCs w:val="28"/>
          <w:shd w:val="clear" w:color="auto" w:fill="FFFFFF"/>
        </w:rPr>
        <w:t>Keutsch</w:t>
      </w:r>
      <w:proofErr w:type="spellEnd"/>
      <w:r w:rsidRPr="00CC129D">
        <w:rPr>
          <w:rFonts w:ascii="Palatino Linotype" w:hAnsi="Palatino Linotype" w:cs="Times New Roman"/>
          <w:sz w:val="24"/>
          <w:szCs w:val="28"/>
          <w:shd w:val="clear" w:color="auto" w:fill="FFFFFF"/>
        </w:rPr>
        <w:t xml:space="preserve">, F. N., de </w:t>
      </w:r>
      <w:proofErr w:type="spellStart"/>
      <w:r w:rsidRPr="00CC129D">
        <w:rPr>
          <w:rFonts w:ascii="Palatino Linotype" w:hAnsi="Palatino Linotype" w:cs="Times New Roman"/>
          <w:sz w:val="24"/>
          <w:szCs w:val="28"/>
          <w:shd w:val="clear" w:color="auto" w:fill="FFFFFF"/>
        </w:rPr>
        <w:t>Gouw</w:t>
      </w:r>
      <w:proofErr w:type="spellEnd"/>
      <w:r w:rsidRPr="00CC129D">
        <w:rPr>
          <w:rFonts w:ascii="Palatino Linotype" w:hAnsi="Palatino Linotype" w:cs="Times New Roman"/>
          <w:sz w:val="24"/>
          <w:szCs w:val="28"/>
          <w:shd w:val="clear" w:color="auto" w:fill="FFFFFF"/>
        </w:rPr>
        <w:t xml:space="preserve">, J. A., Gilman, J. B., </w:t>
      </w:r>
      <w:proofErr w:type="spellStart"/>
      <w:r w:rsidRPr="00CC129D">
        <w:rPr>
          <w:rFonts w:ascii="Palatino Linotype" w:hAnsi="Palatino Linotype" w:cs="Times New Roman"/>
          <w:sz w:val="24"/>
          <w:szCs w:val="28"/>
          <w:shd w:val="clear" w:color="auto" w:fill="FFFFFF"/>
        </w:rPr>
        <w:t>Graus</w:t>
      </w:r>
      <w:proofErr w:type="spellEnd"/>
      <w:r w:rsidRPr="00CC129D">
        <w:rPr>
          <w:rFonts w:ascii="Palatino Linotype" w:hAnsi="Palatino Linotype" w:cs="Times New Roman"/>
          <w:sz w:val="24"/>
          <w:szCs w:val="28"/>
          <w:shd w:val="clear" w:color="auto" w:fill="FFFFFF"/>
        </w:rPr>
        <w:t>, M., Hatch, C. D., Holloway, J., Horowitz, L. W., Lee, B. H., Lerner, B. M., Lopez-</w:t>
      </w:r>
      <w:proofErr w:type="spellStart"/>
      <w:r w:rsidRPr="00CC129D">
        <w:rPr>
          <w:rFonts w:ascii="Palatino Linotype" w:hAnsi="Palatino Linotype" w:cs="Times New Roman"/>
          <w:sz w:val="24"/>
          <w:szCs w:val="28"/>
          <w:shd w:val="clear" w:color="auto" w:fill="FFFFFF"/>
        </w:rPr>
        <w:t>Hilfiker</w:t>
      </w:r>
      <w:proofErr w:type="spellEnd"/>
      <w:r w:rsidRPr="00CC129D">
        <w:rPr>
          <w:rFonts w:ascii="Palatino Linotype" w:hAnsi="Palatino Linotype" w:cs="Times New Roman"/>
          <w:sz w:val="24"/>
          <w:szCs w:val="28"/>
          <w:shd w:val="clear" w:color="auto" w:fill="FFFFFF"/>
        </w:rPr>
        <w:t xml:space="preserve">, F., Mao, J., Marvin, M. R., </w:t>
      </w:r>
      <w:proofErr w:type="spellStart"/>
      <w:r w:rsidRPr="00CC129D">
        <w:rPr>
          <w:rFonts w:ascii="Palatino Linotype" w:hAnsi="Palatino Linotype" w:cs="Times New Roman"/>
          <w:sz w:val="24"/>
          <w:szCs w:val="28"/>
          <w:shd w:val="clear" w:color="auto" w:fill="FFFFFF"/>
        </w:rPr>
        <w:t>Peischl</w:t>
      </w:r>
      <w:proofErr w:type="spellEnd"/>
      <w:r w:rsidRPr="00CC129D">
        <w:rPr>
          <w:rFonts w:ascii="Palatino Linotype" w:hAnsi="Palatino Linotype" w:cs="Times New Roman"/>
          <w:sz w:val="24"/>
          <w:szCs w:val="28"/>
          <w:shd w:val="clear" w:color="auto" w:fill="FFFFFF"/>
        </w:rPr>
        <w:t xml:space="preserve">, J., Pollack, I. B., Roberts, J. M., Ryerson, T. B., Thornton, J. A., </w:t>
      </w:r>
      <w:proofErr w:type="spellStart"/>
      <w:r w:rsidRPr="00CC129D">
        <w:rPr>
          <w:rFonts w:ascii="Palatino Linotype" w:hAnsi="Palatino Linotype" w:cs="Times New Roman"/>
          <w:sz w:val="24"/>
          <w:szCs w:val="28"/>
          <w:shd w:val="clear" w:color="auto" w:fill="FFFFFF"/>
        </w:rPr>
        <w:t>Veres</w:t>
      </w:r>
      <w:proofErr w:type="spellEnd"/>
      <w:r w:rsidRPr="00CC129D">
        <w:rPr>
          <w:rFonts w:ascii="Palatino Linotype" w:hAnsi="Palatino Linotype" w:cs="Times New Roman"/>
          <w:sz w:val="24"/>
          <w:szCs w:val="28"/>
          <w:shd w:val="clear" w:color="auto" w:fill="FFFFFF"/>
        </w:rPr>
        <w:t xml:space="preserve">, P. R., and </w:t>
      </w:r>
      <w:proofErr w:type="spellStart"/>
      <w:r w:rsidRPr="00CC129D">
        <w:rPr>
          <w:rFonts w:ascii="Palatino Linotype" w:hAnsi="Palatino Linotype" w:cs="Times New Roman"/>
          <w:sz w:val="24"/>
          <w:szCs w:val="28"/>
          <w:shd w:val="clear" w:color="auto" w:fill="FFFFFF"/>
        </w:rPr>
        <w:t>Warneke</w:t>
      </w:r>
      <w:proofErr w:type="spellEnd"/>
      <w:r w:rsidRPr="00CC129D">
        <w:rPr>
          <w:rFonts w:ascii="Palatino Linotype" w:hAnsi="Palatino Linotype" w:cs="Times New Roman"/>
          <w:sz w:val="24"/>
          <w:szCs w:val="28"/>
          <w:shd w:val="clear" w:color="auto" w:fill="FFFFFF"/>
        </w:rPr>
        <w:t>, C.: Formaldehyde production from isoprene oxidation across NOx regimes, Atmos. Chem. Phys., 16, 2597–2610, https://doi.org/10.5194/acp-16-2597-2016, 2016.</w:t>
      </w:r>
    </w:p>
    <w:sectPr w:rsidR="008B2BDA" w:rsidRPr="00CC129D">
      <w:pgSz w:w="11906" w:h="16838"/>
      <w:pgMar w:top="1701" w:right="1440" w:bottom="1440"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4BBF7" w14:textId="77777777" w:rsidR="000F6C57" w:rsidRDefault="000F6C57" w:rsidP="00581724">
      <w:pPr>
        <w:spacing w:after="0" w:line="240" w:lineRule="auto"/>
      </w:pPr>
      <w:r>
        <w:separator/>
      </w:r>
    </w:p>
  </w:endnote>
  <w:endnote w:type="continuationSeparator" w:id="0">
    <w:p w14:paraId="4DED09FC" w14:textId="77777777" w:rsidR="000F6C57" w:rsidRDefault="000F6C57" w:rsidP="005817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2E9337" w14:textId="77777777" w:rsidR="000F6C57" w:rsidRDefault="000F6C57" w:rsidP="00581724">
      <w:pPr>
        <w:spacing w:after="0" w:line="240" w:lineRule="auto"/>
      </w:pPr>
      <w:r>
        <w:separator/>
      </w:r>
    </w:p>
  </w:footnote>
  <w:footnote w:type="continuationSeparator" w:id="0">
    <w:p w14:paraId="1CCE162C" w14:textId="77777777" w:rsidR="000F6C57" w:rsidRDefault="000F6C57" w:rsidP="0058172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BD34F3"/>
    <w:multiLevelType w:val="hybridMultilevel"/>
    <w:tmpl w:val="455E9B9A"/>
    <w:lvl w:ilvl="0" w:tplc="1C7643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19883877"/>
    <w:multiLevelType w:val="hybridMultilevel"/>
    <w:tmpl w:val="F4EEFECE"/>
    <w:lvl w:ilvl="0" w:tplc="A26E021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252109C3"/>
    <w:multiLevelType w:val="hybridMultilevel"/>
    <w:tmpl w:val="E23814CE"/>
    <w:lvl w:ilvl="0" w:tplc="9A5066C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2FEE6C3F"/>
    <w:multiLevelType w:val="multilevel"/>
    <w:tmpl w:val="08980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35467BE"/>
    <w:multiLevelType w:val="multilevel"/>
    <w:tmpl w:val="889E9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811D81"/>
    <w:multiLevelType w:val="multilevel"/>
    <w:tmpl w:val="1DBE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78C3EEA"/>
    <w:multiLevelType w:val="hybridMultilevel"/>
    <w:tmpl w:val="205E0EF0"/>
    <w:lvl w:ilvl="0" w:tplc="4A1EE61A">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D565F52"/>
    <w:multiLevelType w:val="hybridMultilevel"/>
    <w:tmpl w:val="EB7220EC"/>
    <w:lvl w:ilvl="0" w:tplc="9BF6CE38">
      <w:start w:val="2"/>
      <w:numFmt w:val="bullet"/>
      <w:lvlText w:val="-"/>
      <w:lvlJc w:val="left"/>
      <w:pPr>
        <w:ind w:left="760" w:hanging="360"/>
      </w:pPr>
      <w:rPr>
        <w:rFonts w:ascii="Palatino Linotype" w:eastAsia="굴림" w:hAnsi="Palatino Linotype"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67EE73AD"/>
    <w:multiLevelType w:val="hybridMultilevel"/>
    <w:tmpl w:val="E94A4F2C"/>
    <w:lvl w:ilvl="0" w:tplc="C9B25E08">
      <w:start w:val="2"/>
      <w:numFmt w:val="bullet"/>
      <w:lvlText w:val="-"/>
      <w:lvlJc w:val="left"/>
      <w:pPr>
        <w:ind w:left="760" w:hanging="360"/>
      </w:pPr>
      <w:rPr>
        <w:rFonts w:ascii="Palatino Linotype" w:eastAsiaTheme="minorEastAsia" w:hAnsi="Palatino Linotype"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6903549E"/>
    <w:multiLevelType w:val="hybridMultilevel"/>
    <w:tmpl w:val="72F6A294"/>
    <w:lvl w:ilvl="0" w:tplc="F59267A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70960A0C"/>
    <w:multiLevelType w:val="multilevel"/>
    <w:tmpl w:val="5CAA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C1807CA"/>
    <w:multiLevelType w:val="hybridMultilevel"/>
    <w:tmpl w:val="E460ED9E"/>
    <w:lvl w:ilvl="0" w:tplc="2BE66B6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6"/>
  </w:num>
  <w:num w:numId="2">
    <w:abstractNumId w:val="9"/>
  </w:num>
  <w:num w:numId="3">
    <w:abstractNumId w:val="0"/>
  </w:num>
  <w:num w:numId="4">
    <w:abstractNumId w:val="4"/>
  </w:num>
  <w:num w:numId="5">
    <w:abstractNumId w:val="10"/>
  </w:num>
  <w:num w:numId="6">
    <w:abstractNumId w:val="3"/>
  </w:num>
  <w:num w:numId="7">
    <w:abstractNumId w:val="8"/>
  </w:num>
  <w:num w:numId="8">
    <w:abstractNumId w:val="5"/>
  </w:num>
  <w:num w:numId="9">
    <w:abstractNumId w:val="7"/>
  </w:num>
  <w:num w:numId="10">
    <w:abstractNumId w:val="1"/>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61CC"/>
    <w:rsid w:val="00000922"/>
    <w:rsid w:val="00000E3F"/>
    <w:rsid w:val="00011E48"/>
    <w:rsid w:val="00012DD5"/>
    <w:rsid w:val="000138A4"/>
    <w:rsid w:val="0001458E"/>
    <w:rsid w:val="00014BBD"/>
    <w:rsid w:val="00016593"/>
    <w:rsid w:val="00020099"/>
    <w:rsid w:val="00022959"/>
    <w:rsid w:val="000334FC"/>
    <w:rsid w:val="00033603"/>
    <w:rsid w:val="00034768"/>
    <w:rsid w:val="00036009"/>
    <w:rsid w:val="00044C07"/>
    <w:rsid w:val="000501AF"/>
    <w:rsid w:val="0005273E"/>
    <w:rsid w:val="00053459"/>
    <w:rsid w:val="000536E5"/>
    <w:rsid w:val="0005707B"/>
    <w:rsid w:val="000615BF"/>
    <w:rsid w:val="0006178B"/>
    <w:rsid w:val="00061795"/>
    <w:rsid w:val="000657E6"/>
    <w:rsid w:val="00070A39"/>
    <w:rsid w:val="00071FF9"/>
    <w:rsid w:val="00072A8E"/>
    <w:rsid w:val="000758B6"/>
    <w:rsid w:val="00076DFC"/>
    <w:rsid w:val="0007795D"/>
    <w:rsid w:val="00080F66"/>
    <w:rsid w:val="00080F93"/>
    <w:rsid w:val="00082C36"/>
    <w:rsid w:val="000845C1"/>
    <w:rsid w:val="0008563A"/>
    <w:rsid w:val="00086DA7"/>
    <w:rsid w:val="00086EAB"/>
    <w:rsid w:val="00093333"/>
    <w:rsid w:val="00095CBC"/>
    <w:rsid w:val="000A0931"/>
    <w:rsid w:val="000A3816"/>
    <w:rsid w:val="000A6924"/>
    <w:rsid w:val="000B2660"/>
    <w:rsid w:val="000B3D4D"/>
    <w:rsid w:val="000B56C0"/>
    <w:rsid w:val="000B6ECF"/>
    <w:rsid w:val="000B7B69"/>
    <w:rsid w:val="000C12CD"/>
    <w:rsid w:val="000C4C87"/>
    <w:rsid w:val="000C5DB3"/>
    <w:rsid w:val="000D0597"/>
    <w:rsid w:val="000D7F83"/>
    <w:rsid w:val="000E045B"/>
    <w:rsid w:val="000E0FF4"/>
    <w:rsid w:val="000E170B"/>
    <w:rsid w:val="000F0CFF"/>
    <w:rsid w:val="000F2B41"/>
    <w:rsid w:val="000F31D8"/>
    <w:rsid w:val="000F61CC"/>
    <w:rsid w:val="000F6C57"/>
    <w:rsid w:val="00100DFC"/>
    <w:rsid w:val="0010262A"/>
    <w:rsid w:val="001037A4"/>
    <w:rsid w:val="001037DB"/>
    <w:rsid w:val="00103F31"/>
    <w:rsid w:val="00106D8E"/>
    <w:rsid w:val="00107EE2"/>
    <w:rsid w:val="00110958"/>
    <w:rsid w:val="00111558"/>
    <w:rsid w:val="00111D3D"/>
    <w:rsid w:val="001122AE"/>
    <w:rsid w:val="0012408A"/>
    <w:rsid w:val="001241BC"/>
    <w:rsid w:val="00127EDC"/>
    <w:rsid w:val="00134325"/>
    <w:rsid w:val="00137613"/>
    <w:rsid w:val="00144DF8"/>
    <w:rsid w:val="0015028D"/>
    <w:rsid w:val="001517A7"/>
    <w:rsid w:val="001548C9"/>
    <w:rsid w:val="00162733"/>
    <w:rsid w:val="001635C1"/>
    <w:rsid w:val="00164E38"/>
    <w:rsid w:val="001659A3"/>
    <w:rsid w:val="00165A44"/>
    <w:rsid w:val="00171214"/>
    <w:rsid w:val="00172DF5"/>
    <w:rsid w:val="00173E85"/>
    <w:rsid w:val="001754AA"/>
    <w:rsid w:val="001756C8"/>
    <w:rsid w:val="00175C72"/>
    <w:rsid w:val="00176D46"/>
    <w:rsid w:val="001858E6"/>
    <w:rsid w:val="00187AE1"/>
    <w:rsid w:val="001907D0"/>
    <w:rsid w:val="001940AD"/>
    <w:rsid w:val="0019438F"/>
    <w:rsid w:val="00195646"/>
    <w:rsid w:val="00197475"/>
    <w:rsid w:val="001A0EC8"/>
    <w:rsid w:val="001A1D69"/>
    <w:rsid w:val="001A1FAE"/>
    <w:rsid w:val="001A2680"/>
    <w:rsid w:val="001A591C"/>
    <w:rsid w:val="001A5AEB"/>
    <w:rsid w:val="001A770D"/>
    <w:rsid w:val="001B2181"/>
    <w:rsid w:val="001B22BF"/>
    <w:rsid w:val="001B2EDA"/>
    <w:rsid w:val="001B2F3C"/>
    <w:rsid w:val="001B5539"/>
    <w:rsid w:val="001B59AC"/>
    <w:rsid w:val="001C0638"/>
    <w:rsid w:val="001C2EAF"/>
    <w:rsid w:val="001C3F0D"/>
    <w:rsid w:val="001C5C56"/>
    <w:rsid w:val="001C6AA1"/>
    <w:rsid w:val="001C72B6"/>
    <w:rsid w:val="001D076F"/>
    <w:rsid w:val="001D2016"/>
    <w:rsid w:val="001D482E"/>
    <w:rsid w:val="001D53FF"/>
    <w:rsid w:val="001D6BC4"/>
    <w:rsid w:val="001D71BA"/>
    <w:rsid w:val="001E1375"/>
    <w:rsid w:val="001E37C2"/>
    <w:rsid w:val="001E5D7A"/>
    <w:rsid w:val="001E6178"/>
    <w:rsid w:val="001E6783"/>
    <w:rsid w:val="001E68D9"/>
    <w:rsid w:val="001E7928"/>
    <w:rsid w:val="001F221B"/>
    <w:rsid w:val="001F3DCA"/>
    <w:rsid w:val="00200A64"/>
    <w:rsid w:val="002023F1"/>
    <w:rsid w:val="0021227C"/>
    <w:rsid w:val="002122E5"/>
    <w:rsid w:val="00214C9D"/>
    <w:rsid w:val="00214E36"/>
    <w:rsid w:val="0021781F"/>
    <w:rsid w:val="00217E23"/>
    <w:rsid w:val="00217FCB"/>
    <w:rsid w:val="0022030F"/>
    <w:rsid w:val="002215FE"/>
    <w:rsid w:val="00221821"/>
    <w:rsid w:val="00221E18"/>
    <w:rsid w:val="00223579"/>
    <w:rsid w:val="00224BAB"/>
    <w:rsid w:val="002263D3"/>
    <w:rsid w:val="00235123"/>
    <w:rsid w:val="002402DF"/>
    <w:rsid w:val="002411AC"/>
    <w:rsid w:val="00243D6D"/>
    <w:rsid w:val="0024597B"/>
    <w:rsid w:val="0025040E"/>
    <w:rsid w:val="0025053D"/>
    <w:rsid w:val="00251DE3"/>
    <w:rsid w:val="00253A4F"/>
    <w:rsid w:val="00253A81"/>
    <w:rsid w:val="002547A9"/>
    <w:rsid w:val="00254B0B"/>
    <w:rsid w:val="00255319"/>
    <w:rsid w:val="0025718F"/>
    <w:rsid w:val="00261875"/>
    <w:rsid w:val="00261B03"/>
    <w:rsid w:val="0026226C"/>
    <w:rsid w:val="00263162"/>
    <w:rsid w:val="00264142"/>
    <w:rsid w:val="0026503F"/>
    <w:rsid w:val="00265D20"/>
    <w:rsid w:val="00275C13"/>
    <w:rsid w:val="00275C2C"/>
    <w:rsid w:val="0028265C"/>
    <w:rsid w:val="00285593"/>
    <w:rsid w:val="00287BAA"/>
    <w:rsid w:val="0029103D"/>
    <w:rsid w:val="00296D0C"/>
    <w:rsid w:val="002A2343"/>
    <w:rsid w:val="002A2418"/>
    <w:rsid w:val="002A60EE"/>
    <w:rsid w:val="002A6700"/>
    <w:rsid w:val="002A7449"/>
    <w:rsid w:val="002A7CF7"/>
    <w:rsid w:val="002B5047"/>
    <w:rsid w:val="002B706C"/>
    <w:rsid w:val="002C174C"/>
    <w:rsid w:val="002C5370"/>
    <w:rsid w:val="002C54C7"/>
    <w:rsid w:val="002C7CDD"/>
    <w:rsid w:val="002D2BE3"/>
    <w:rsid w:val="002D61A9"/>
    <w:rsid w:val="002E31F1"/>
    <w:rsid w:val="002E3898"/>
    <w:rsid w:val="002E5E39"/>
    <w:rsid w:val="002F1D78"/>
    <w:rsid w:val="002F44A2"/>
    <w:rsid w:val="00303965"/>
    <w:rsid w:val="003070F6"/>
    <w:rsid w:val="00307AC7"/>
    <w:rsid w:val="00312C2D"/>
    <w:rsid w:val="003130A8"/>
    <w:rsid w:val="00315CB5"/>
    <w:rsid w:val="00316195"/>
    <w:rsid w:val="003163FC"/>
    <w:rsid w:val="00317280"/>
    <w:rsid w:val="0032469F"/>
    <w:rsid w:val="0033564C"/>
    <w:rsid w:val="00336D9E"/>
    <w:rsid w:val="00337BE8"/>
    <w:rsid w:val="00340676"/>
    <w:rsid w:val="00341724"/>
    <w:rsid w:val="00343537"/>
    <w:rsid w:val="003475EB"/>
    <w:rsid w:val="00347CC4"/>
    <w:rsid w:val="00350173"/>
    <w:rsid w:val="00350235"/>
    <w:rsid w:val="00351818"/>
    <w:rsid w:val="00351A33"/>
    <w:rsid w:val="00353B68"/>
    <w:rsid w:val="00357B98"/>
    <w:rsid w:val="00362291"/>
    <w:rsid w:val="003622FA"/>
    <w:rsid w:val="00364FF7"/>
    <w:rsid w:val="00365623"/>
    <w:rsid w:val="003717F5"/>
    <w:rsid w:val="00376D86"/>
    <w:rsid w:val="003871FE"/>
    <w:rsid w:val="003905E2"/>
    <w:rsid w:val="0039137C"/>
    <w:rsid w:val="003A1B12"/>
    <w:rsid w:val="003A5A90"/>
    <w:rsid w:val="003A6C51"/>
    <w:rsid w:val="003A7E34"/>
    <w:rsid w:val="003B1A11"/>
    <w:rsid w:val="003B5703"/>
    <w:rsid w:val="003C3A37"/>
    <w:rsid w:val="003C42F7"/>
    <w:rsid w:val="003C49C3"/>
    <w:rsid w:val="003C5FBC"/>
    <w:rsid w:val="003D44E8"/>
    <w:rsid w:val="003D541E"/>
    <w:rsid w:val="003E2E0B"/>
    <w:rsid w:val="003E4508"/>
    <w:rsid w:val="003E492D"/>
    <w:rsid w:val="003E6D98"/>
    <w:rsid w:val="003F7032"/>
    <w:rsid w:val="00401AE4"/>
    <w:rsid w:val="00402A03"/>
    <w:rsid w:val="00407AB9"/>
    <w:rsid w:val="00410A7E"/>
    <w:rsid w:val="00410E85"/>
    <w:rsid w:val="00411682"/>
    <w:rsid w:val="00413F55"/>
    <w:rsid w:val="00415AC1"/>
    <w:rsid w:val="004166C6"/>
    <w:rsid w:val="004176B6"/>
    <w:rsid w:val="004203DE"/>
    <w:rsid w:val="00422D4B"/>
    <w:rsid w:val="00422FC8"/>
    <w:rsid w:val="00423303"/>
    <w:rsid w:val="00423E18"/>
    <w:rsid w:val="004275B8"/>
    <w:rsid w:val="00427CA7"/>
    <w:rsid w:val="00432536"/>
    <w:rsid w:val="00432D63"/>
    <w:rsid w:val="00441108"/>
    <w:rsid w:val="00441418"/>
    <w:rsid w:val="004416B1"/>
    <w:rsid w:val="004436A7"/>
    <w:rsid w:val="004532D3"/>
    <w:rsid w:val="00454B07"/>
    <w:rsid w:val="0045645F"/>
    <w:rsid w:val="00457DB3"/>
    <w:rsid w:val="00460AD5"/>
    <w:rsid w:val="00461D8C"/>
    <w:rsid w:val="004675FB"/>
    <w:rsid w:val="004714A7"/>
    <w:rsid w:val="004714F6"/>
    <w:rsid w:val="00475F99"/>
    <w:rsid w:val="004768AF"/>
    <w:rsid w:val="00481C61"/>
    <w:rsid w:val="00483274"/>
    <w:rsid w:val="004837A5"/>
    <w:rsid w:val="00484C46"/>
    <w:rsid w:val="00487320"/>
    <w:rsid w:val="00490563"/>
    <w:rsid w:val="004912C0"/>
    <w:rsid w:val="004915C9"/>
    <w:rsid w:val="0049182F"/>
    <w:rsid w:val="00495613"/>
    <w:rsid w:val="00495698"/>
    <w:rsid w:val="00496B9B"/>
    <w:rsid w:val="00497403"/>
    <w:rsid w:val="004A23A0"/>
    <w:rsid w:val="004B0AA8"/>
    <w:rsid w:val="004B1618"/>
    <w:rsid w:val="004B3329"/>
    <w:rsid w:val="004B43F8"/>
    <w:rsid w:val="004B7A84"/>
    <w:rsid w:val="004C6E78"/>
    <w:rsid w:val="004D6C22"/>
    <w:rsid w:val="004D7401"/>
    <w:rsid w:val="004E2A70"/>
    <w:rsid w:val="004E5222"/>
    <w:rsid w:val="004F2040"/>
    <w:rsid w:val="004F3654"/>
    <w:rsid w:val="004F38AA"/>
    <w:rsid w:val="004F3AD4"/>
    <w:rsid w:val="004F7832"/>
    <w:rsid w:val="0050011D"/>
    <w:rsid w:val="00502FE4"/>
    <w:rsid w:val="00505986"/>
    <w:rsid w:val="005113EB"/>
    <w:rsid w:val="00512256"/>
    <w:rsid w:val="00512F59"/>
    <w:rsid w:val="00515236"/>
    <w:rsid w:val="00515C51"/>
    <w:rsid w:val="005166F4"/>
    <w:rsid w:val="00516A43"/>
    <w:rsid w:val="00517B2E"/>
    <w:rsid w:val="0052636A"/>
    <w:rsid w:val="00527BEA"/>
    <w:rsid w:val="0053105A"/>
    <w:rsid w:val="0053491F"/>
    <w:rsid w:val="00542013"/>
    <w:rsid w:val="00542185"/>
    <w:rsid w:val="00544205"/>
    <w:rsid w:val="00545FE0"/>
    <w:rsid w:val="005509B3"/>
    <w:rsid w:val="00552246"/>
    <w:rsid w:val="005550FB"/>
    <w:rsid w:val="00556C8E"/>
    <w:rsid w:val="00560E96"/>
    <w:rsid w:val="00563341"/>
    <w:rsid w:val="00563A9E"/>
    <w:rsid w:val="005754A0"/>
    <w:rsid w:val="005766F7"/>
    <w:rsid w:val="00577E9D"/>
    <w:rsid w:val="00580F29"/>
    <w:rsid w:val="00581724"/>
    <w:rsid w:val="005847C6"/>
    <w:rsid w:val="00585561"/>
    <w:rsid w:val="005862F8"/>
    <w:rsid w:val="00587024"/>
    <w:rsid w:val="005876F6"/>
    <w:rsid w:val="00590310"/>
    <w:rsid w:val="005905FF"/>
    <w:rsid w:val="00590BA2"/>
    <w:rsid w:val="00593FB3"/>
    <w:rsid w:val="005A6D7A"/>
    <w:rsid w:val="005A7018"/>
    <w:rsid w:val="005B2C65"/>
    <w:rsid w:val="005B3243"/>
    <w:rsid w:val="005B56D5"/>
    <w:rsid w:val="005B5E71"/>
    <w:rsid w:val="005B70A1"/>
    <w:rsid w:val="005B7F56"/>
    <w:rsid w:val="005C0D21"/>
    <w:rsid w:val="005C3320"/>
    <w:rsid w:val="005C4A17"/>
    <w:rsid w:val="005C4CDD"/>
    <w:rsid w:val="005C57DF"/>
    <w:rsid w:val="005C5C36"/>
    <w:rsid w:val="005D0C83"/>
    <w:rsid w:val="005D20A6"/>
    <w:rsid w:val="005D2371"/>
    <w:rsid w:val="005D3486"/>
    <w:rsid w:val="005D5F36"/>
    <w:rsid w:val="005D796C"/>
    <w:rsid w:val="005E0EC8"/>
    <w:rsid w:val="005E3D02"/>
    <w:rsid w:val="005E3FED"/>
    <w:rsid w:val="005E4DBA"/>
    <w:rsid w:val="005E5B43"/>
    <w:rsid w:val="005E750B"/>
    <w:rsid w:val="005E7DD5"/>
    <w:rsid w:val="005F3CD3"/>
    <w:rsid w:val="005F4A64"/>
    <w:rsid w:val="005F5898"/>
    <w:rsid w:val="00601363"/>
    <w:rsid w:val="0060519D"/>
    <w:rsid w:val="006053EF"/>
    <w:rsid w:val="006068B6"/>
    <w:rsid w:val="006119FA"/>
    <w:rsid w:val="00611FF4"/>
    <w:rsid w:val="00614CB9"/>
    <w:rsid w:val="00614F44"/>
    <w:rsid w:val="00620237"/>
    <w:rsid w:val="00622026"/>
    <w:rsid w:val="00625AA1"/>
    <w:rsid w:val="00627D15"/>
    <w:rsid w:val="006311E3"/>
    <w:rsid w:val="00633927"/>
    <w:rsid w:val="0063535C"/>
    <w:rsid w:val="00635E68"/>
    <w:rsid w:val="006453D9"/>
    <w:rsid w:val="00645534"/>
    <w:rsid w:val="00646FEF"/>
    <w:rsid w:val="006608E9"/>
    <w:rsid w:val="00665E4D"/>
    <w:rsid w:val="00666A34"/>
    <w:rsid w:val="0067399B"/>
    <w:rsid w:val="00676202"/>
    <w:rsid w:val="006777A5"/>
    <w:rsid w:val="00686CB3"/>
    <w:rsid w:val="00686CDC"/>
    <w:rsid w:val="00690481"/>
    <w:rsid w:val="006905A3"/>
    <w:rsid w:val="00691B1B"/>
    <w:rsid w:val="00692FCA"/>
    <w:rsid w:val="00696BC2"/>
    <w:rsid w:val="006973F5"/>
    <w:rsid w:val="006A397F"/>
    <w:rsid w:val="006A7686"/>
    <w:rsid w:val="006A7DEC"/>
    <w:rsid w:val="006B3A90"/>
    <w:rsid w:val="006B4BC1"/>
    <w:rsid w:val="006C07D0"/>
    <w:rsid w:val="006C0B33"/>
    <w:rsid w:val="006C15DA"/>
    <w:rsid w:val="006C18D4"/>
    <w:rsid w:val="006C1FAB"/>
    <w:rsid w:val="006C3496"/>
    <w:rsid w:val="006C3B1E"/>
    <w:rsid w:val="006C6D10"/>
    <w:rsid w:val="006D02DB"/>
    <w:rsid w:val="006D3EDD"/>
    <w:rsid w:val="006D4465"/>
    <w:rsid w:val="006E2E31"/>
    <w:rsid w:val="006E2EFB"/>
    <w:rsid w:val="006E39FE"/>
    <w:rsid w:val="006F064C"/>
    <w:rsid w:val="006F1DBB"/>
    <w:rsid w:val="006F2007"/>
    <w:rsid w:val="006F32B1"/>
    <w:rsid w:val="006F5FD0"/>
    <w:rsid w:val="006F70B0"/>
    <w:rsid w:val="006F77BD"/>
    <w:rsid w:val="006F7B72"/>
    <w:rsid w:val="007002BC"/>
    <w:rsid w:val="00703625"/>
    <w:rsid w:val="00703AA5"/>
    <w:rsid w:val="00705D94"/>
    <w:rsid w:val="00707317"/>
    <w:rsid w:val="0070748D"/>
    <w:rsid w:val="00710417"/>
    <w:rsid w:val="00712369"/>
    <w:rsid w:val="007137C0"/>
    <w:rsid w:val="00714B06"/>
    <w:rsid w:val="00715B2D"/>
    <w:rsid w:val="00720029"/>
    <w:rsid w:val="0072314A"/>
    <w:rsid w:val="00724320"/>
    <w:rsid w:val="00725F6E"/>
    <w:rsid w:val="00734F33"/>
    <w:rsid w:val="00737F52"/>
    <w:rsid w:val="00741F72"/>
    <w:rsid w:val="007425A9"/>
    <w:rsid w:val="00745000"/>
    <w:rsid w:val="007458BD"/>
    <w:rsid w:val="007505F8"/>
    <w:rsid w:val="00750708"/>
    <w:rsid w:val="0075551E"/>
    <w:rsid w:val="00756997"/>
    <w:rsid w:val="007603C7"/>
    <w:rsid w:val="007636B3"/>
    <w:rsid w:val="0076397D"/>
    <w:rsid w:val="00764DCF"/>
    <w:rsid w:val="00766F60"/>
    <w:rsid w:val="0077342D"/>
    <w:rsid w:val="00775FBA"/>
    <w:rsid w:val="00784E96"/>
    <w:rsid w:val="00787610"/>
    <w:rsid w:val="00787BC8"/>
    <w:rsid w:val="00791936"/>
    <w:rsid w:val="0079351C"/>
    <w:rsid w:val="007953D1"/>
    <w:rsid w:val="00795F04"/>
    <w:rsid w:val="00797C3C"/>
    <w:rsid w:val="007A43E6"/>
    <w:rsid w:val="007B45DA"/>
    <w:rsid w:val="007B484B"/>
    <w:rsid w:val="007B4AA0"/>
    <w:rsid w:val="007B4C09"/>
    <w:rsid w:val="007B4CBF"/>
    <w:rsid w:val="007B5854"/>
    <w:rsid w:val="007B6503"/>
    <w:rsid w:val="007C209F"/>
    <w:rsid w:val="007C3811"/>
    <w:rsid w:val="007C529E"/>
    <w:rsid w:val="007D17F2"/>
    <w:rsid w:val="007D4DB6"/>
    <w:rsid w:val="007D7F10"/>
    <w:rsid w:val="007E3F9D"/>
    <w:rsid w:val="007E44B3"/>
    <w:rsid w:val="007E46D3"/>
    <w:rsid w:val="007E54A9"/>
    <w:rsid w:val="007F07DA"/>
    <w:rsid w:val="007F0C81"/>
    <w:rsid w:val="007F22A3"/>
    <w:rsid w:val="007F2878"/>
    <w:rsid w:val="007F32C6"/>
    <w:rsid w:val="0080234C"/>
    <w:rsid w:val="00803074"/>
    <w:rsid w:val="00806B5C"/>
    <w:rsid w:val="00807D40"/>
    <w:rsid w:val="0081002F"/>
    <w:rsid w:val="0081330E"/>
    <w:rsid w:val="00822730"/>
    <w:rsid w:val="008339D2"/>
    <w:rsid w:val="00834C9E"/>
    <w:rsid w:val="00834F3A"/>
    <w:rsid w:val="00836015"/>
    <w:rsid w:val="0084058C"/>
    <w:rsid w:val="00845EF1"/>
    <w:rsid w:val="00847ACB"/>
    <w:rsid w:val="008559F5"/>
    <w:rsid w:val="00856EA4"/>
    <w:rsid w:val="00862AA1"/>
    <w:rsid w:val="00863290"/>
    <w:rsid w:val="008645D2"/>
    <w:rsid w:val="00864EF6"/>
    <w:rsid w:val="00865E4B"/>
    <w:rsid w:val="008661D1"/>
    <w:rsid w:val="00870605"/>
    <w:rsid w:val="0087088F"/>
    <w:rsid w:val="00873FD8"/>
    <w:rsid w:val="00874B6F"/>
    <w:rsid w:val="008754B7"/>
    <w:rsid w:val="00876C14"/>
    <w:rsid w:val="008772AE"/>
    <w:rsid w:val="00882E01"/>
    <w:rsid w:val="008861E0"/>
    <w:rsid w:val="00887028"/>
    <w:rsid w:val="008879EA"/>
    <w:rsid w:val="00890D98"/>
    <w:rsid w:val="00891A7E"/>
    <w:rsid w:val="0089726B"/>
    <w:rsid w:val="008A1D80"/>
    <w:rsid w:val="008A409E"/>
    <w:rsid w:val="008A7F77"/>
    <w:rsid w:val="008B2BDA"/>
    <w:rsid w:val="008B37F7"/>
    <w:rsid w:val="008B4B42"/>
    <w:rsid w:val="008B5D7A"/>
    <w:rsid w:val="008C03D0"/>
    <w:rsid w:val="008C0706"/>
    <w:rsid w:val="008C7FDC"/>
    <w:rsid w:val="008D3419"/>
    <w:rsid w:val="008D3454"/>
    <w:rsid w:val="008D5190"/>
    <w:rsid w:val="008D6437"/>
    <w:rsid w:val="008D679B"/>
    <w:rsid w:val="008E615C"/>
    <w:rsid w:val="008E6641"/>
    <w:rsid w:val="008F0BD9"/>
    <w:rsid w:val="008F3FFF"/>
    <w:rsid w:val="008F49B2"/>
    <w:rsid w:val="008F5437"/>
    <w:rsid w:val="008F54A7"/>
    <w:rsid w:val="008F7568"/>
    <w:rsid w:val="0090026E"/>
    <w:rsid w:val="00902F90"/>
    <w:rsid w:val="00903158"/>
    <w:rsid w:val="0090705D"/>
    <w:rsid w:val="00917C3D"/>
    <w:rsid w:val="00926152"/>
    <w:rsid w:val="00927CC2"/>
    <w:rsid w:val="00931240"/>
    <w:rsid w:val="00931931"/>
    <w:rsid w:val="00932030"/>
    <w:rsid w:val="00932740"/>
    <w:rsid w:val="00933063"/>
    <w:rsid w:val="00933572"/>
    <w:rsid w:val="00933B24"/>
    <w:rsid w:val="009367EF"/>
    <w:rsid w:val="009426A3"/>
    <w:rsid w:val="00942B01"/>
    <w:rsid w:val="00946E3A"/>
    <w:rsid w:val="00950872"/>
    <w:rsid w:val="009513C3"/>
    <w:rsid w:val="00956266"/>
    <w:rsid w:val="00956AFC"/>
    <w:rsid w:val="00957A57"/>
    <w:rsid w:val="00957D44"/>
    <w:rsid w:val="009630A6"/>
    <w:rsid w:val="0096325F"/>
    <w:rsid w:val="009675E4"/>
    <w:rsid w:val="00970622"/>
    <w:rsid w:val="009714AB"/>
    <w:rsid w:val="00981BA0"/>
    <w:rsid w:val="00982B2D"/>
    <w:rsid w:val="00982E6A"/>
    <w:rsid w:val="00986AAB"/>
    <w:rsid w:val="0099011A"/>
    <w:rsid w:val="00990224"/>
    <w:rsid w:val="0099157E"/>
    <w:rsid w:val="0099212A"/>
    <w:rsid w:val="0099302C"/>
    <w:rsid w:val="00995E5A"/>
    <w:rsid w:val="00997029"/>
    <w:rsid w:val="009A3913"/>
    <w:rsid w:val="009B572B"/>
    <w:rsid w:val="009C18D6"/>
    <w:rsid w:val="009C383E"/>
    <w:rsid w:val="009C4C55"/>
    <w:rsid w:val="009D0114"/>
    <w:rsid w:val="009D4DC1"/>
    <w:rsid w:val="009D78F1"/>
    <w:rsid w:val="009E02EB"/>
    <w:rsid w:val="009E4120"/>
    <w:rsid w:val="009E51C7"/>
    <w:rsid w:val="009E63CF"/>
    <w:rsid w:val="009F2333"/>
    <w:rsid w:val="009F2463"/>
    <w:rsid w:val="009F3359"/>
    <w:rsid w:val="009F5C68"/>
    <w:rsid w:val="00A0023B"/>
    <w:rsid w:val="00A03D77"/>
    <w:rsid w:val="00A10DCC"/>
    <w:rsid w:val="00A11D55"/>
    <w:rsid w:val="00A14B7B"/>
    <w:rsid w:val="00A14BFC"/>
    <w:rsid w:val="00A15CC1"/>
    <w:rsid w:val="00A1631F"/>
    <w:rsid w:val="00A217A0"/>
    <w:rsid w:val="00A23749"/>
    <w:rsid w:val="00A238EE"/>
    <w:rsid w:val="00A23DE0"/>
    <w:rsid w:val="00A24519"/>
    <w:rsid w:val="00A30F02"/>
    <w:rsid w:val="00A3477C"/>
    <w:rsid w:val="00A353AC"/>
    <w:rsid w:val="00A35D6A"/>
    <w:rsid w:val="00A360E2"/>
    <w:rsid w:val="00A36627"/>
    <w:rsid w:val="00A36F93"/>
    <w:rsid w:val="00A40CAB"/>
    <w:rsid w:val="00A44632"/>
    <w:rsid w:val="00A449BB"/>
    <w:rsid w:val="00A44E99"/>
    <w:rsid w:val="00A4555B"/>
    <w:rsid w:val="00A50A16"/>
    <w:rsid w:val="00A51D82"/>
    <w:rsid w:val="00A52E3A"/>
    <w:rsid w:val="00A56CE3"/>
    <w:rsid w:val="00A630A1"/>
    <w:rsid w:val="00A64563"/>
    <w:rsid w:val="00A650D4"/>
    <w:rsid w:val="00A72768"/>
    <w:rsid w:val="00A77376"/>
    <w:rsid w:val="00A8010D"/>
    <w:rsid w:val="00A81B5B"/>
    <w:rsid w:val="00A8365A"/>
    <w:rsid w:val="00A83F53"/>
    <w:rsid w:val="00A8565E"/>
    <w:rsid w:val="00A87618"/>
    <w:rsid w:val="00A93482"/>
    <w:rsid w:val="00AA225A"/>
    <w:rsid w:val="00AA39A6"/>
    <w:rsid w:val="00AA69E4"/>
    <w:rsid w:val="00AB1356"/>
    <w:rsid w:val="00AB3D81"/>
    <w:rsid w:val="00AB5D43"/>
    <w:rsid w:val="00AB7BEB"/>
    <w:rsid w:val="00AC3208"/>
    <w:rsid w:val="00AC4389"/>
    <w:rsid w:val="00AC5450"/>
    <w:rsid w:val="00AC5653"/>
    <w:rsid w:val="00AD16D5"/>
    <w:rsid w:val="00AD2BB0"/>
    <w:rsid w:val="00AD5B2E"/>
    <w:rsid w:val="00AD705F"/>
    <w:rsid w:val="00AE0284"/>
    <w:rsid w:val="00AE3888"/>
    <w:rsid w:val="00AE40E1"/>
    <w:rsid w:val="00AE4F32"/>
    <w:rsid w:val="00AE53EE"/>
    <w:rsid w:val="00AE5B21"/>
    <w:rsid w:val="00AE7F9F"/>
    <w:rsid w:val="00AF0C45"/>
    <w:rsid w:val="00AF6A7C"/>
    <w:rsid w:val="00B032D4"/>
    <w:rsid w:val="00B041E8"/>
    <w:rsid w:val="00B04CB2"/>
    <w:rsid w:val="00B0668E"/>
    <w:rsid w:val="00B0731B"/>
    <w:rsid w:val="00B14B41"/>
    <w:rsid w:val="00B14C36"/>
    <w:rsid w:val="00B177D4"/>
    <w:rsid w:val="00B179F9"/>
    <w:rsid w:val="00B17BCD"/>
    <w:rsid w:val="00B23B9C"/>
    <w:rsid w:val="00B242B0"/>
    <w:rsid w:val="00B26A46"/>
    <w:rsid w:val="00B30590"/>
    <w:rsid w:val="00B311A5"/>
    <w:rsid w:val="00B406A2"/>
    <w:rsid w:val="00B42078"/>
    <w:rsid w:val="00B47870"/>
    <w:rsid w:val="00B5082A"/>
    <w:rsid w:val="00B5170F"/>
    <w:rsid w:val="00B566D8"/>
    <w:rsid w:val="00B5725A"/>
    <w:rsid w:val="00B57E67"/>
    <w:rsid w:val="00B63B93"/>
    <w:rsid w:val="00B646B7"/>
    <w:rsid w:val="00B65568"/>
    <w:rsid w:val="00B856E0"/>
    <w:rsid w:val="00B876FD"/>
    <w:rsid w:val="00B93180"/>
    <w:rsid w:val="00B94309"/>
    <w:rsid w:val="00B961D6"/>
    <w:rsid w:val="00B969E1"/>
    <w:rsid w:val="00B9725E"/>
    <w:rsid w:val="00BA2B69"/>
    <w:rsid w:val="00BA3E55"/>
    <w:rsid w:val="00BA49FB"/>
    <w:rsid w:val="00BB1BC7"/>
    <w:rsid w:val="00BB507E"/>
    <w:rsid w:val="00BB5B12"/>
    <w:rsid w:val="00BB6AF1"/>
    <w:rsid w:val="00BB6C43"/>
    <w:rsid w:val="00BC1641"/>
    <w:rsid w:val="00BC4F4A"/>
    <w:rsid w:val="00BC67F5"/>
    <w:rsid w:val="00BD32BC"/>
    <w:rsid w:val="00BD5423"/>
    <w:rsid w:val="00BD63A9"/>
    <w:rsid w:val="00BD6889"/>
    <w:rsid w:val="00BD6F79"/>
    <w:rsid w:val="00BE0C75"/>
    <w:rsid w:val="00BE0E7E"/>
    <w:rsid w:val="00BE245C"/>
    <w:rsid w:val="00BE4A35"/>
    <w:rsid w:val="00BF1057"/>
    <w:rsid w:val="00BF408C"/>
    <w:rsid w:val="00BF4172"/>
    <w:rsid w:val="00BF5412"/>
    <w:rsid w:val="00BF7873"/>
    <w:rsid w:val="00BF7DF6"/>
    <w:rsid w:val="00C0299D"/>
    <w:rsid w:val="00C043E1"/>
    <w:rsid w:val="00C05F03"/>
    <w:rsid w:val="00C1645B"/>
    <w:rsid w:val="00C16C99"/>
    <w:rsid w:val="00C201F7"/>
    <w:rsid w:val="00C2723D"/>
    <w:rsid w:val="00C308DB"/>
    <w:rsid w:val="00C320E0"/>
    <w:rsid w:val="00C37639"/>
    <w:rsid w:val="00C428BB"/>
    <w:rsid w:val="00C454F3"/>
    <w:rsid w:val="00C5017B"/>
    <w:rsid w:val="00C523C3"/>
    <w:rsid w:val="00C54A67"/>
    <w:rsid w:val="00C5585A"/>
    <w:rsid w:val="00C57354"/>
    <w:rsid w:val="00C62CBD"/>
    <w:rsid w:val="00C62EBE"/>
    <w:rsid w:val="00C63610"/>
    <w:rsid w:val="00C64F36"/>
    <w:rsid w:val="00C67580"/>
    <w:rsid w:val="00C70682"/>
    <w:rsid w:val="00C7288F"/>
    <w:rsid w:val="00C762EE"/>
    <w:rsid w:val="00C915CE"/>
    <w:rsid w:val="00C951E9"/>
    <w:rsid w:val="00C953A3"/>
    <w:rsid w:val="00C9767E"/>
    <w:rsid w:val="00CA598E"/>
    <w:rsid w:val="00CB18C3"/>
    <w:rsid w:val="00CB2439"/>
    <w:rsid w:val="00CB5B70"/>
    <w:rsid w:val="00CB67DA"/>
    <w:rsid w:val="00CB6E10"/>
    <w:rsid w:val="00CC04C8"/>
    <w:rsid w:val="00CC129D"/>
    <w:rsid w:val="00CC1DB6"/>
    <w:rsid w:val="00CC313F"/>
    <w:rsid w:val="00CC5F9E"/>
    <w:rsid w:val="00CC64D3"/>
    <w:rsid w:val="00CC6F3B"/>
    <w:rsid w:val="00CC7319"/>
    <w:rsid w:val="00CD0706"/>
    <w:rsid w:val="00CD226F"/>
    <w:rsid w:val="00CD27EC"/>
    <w:rsid w:val="00CD6CCB"/>
    <w:rsid w:val="00CE073C"/>
    <w:rsid w:val="00CE1BAB"/>
    <w:rsid w:val="00CE2E5F"/>
    <w:rsid w:val="00CE3C48"/>
    <w:rsid w:val="00CE44B5"/>
    <w:rsid w:val="00CF0682"/>
    <w:rsid w:val="00CF2757"/>
    <w:rsid w:val="00CF3047"/>
    <w:rsid w:val="00CF5722"/>
    <w:rsid w:val="00D0000D"/>
    <w:rsid w:val="00D014E3"/>
    <w:rsid w:val="00D01C93"/>
    <w:rsid w:val="00D02B20"/>
    <w:rsid w:val="00D11369"/>
    <w:rsid w:val="00D14163"/>
    <w:rsid w:val="00D144A6"/>
    <w:rsid w:val="00D145CB"/>
    <w:rsid w:val="00D1696A"/>
    <w:rsid w:val="00D21818"/>
    <w:rsid w:val="00D224BE"/>
    <w:rsid w:val="00D22EFE"/>
    <w:rsid w:val="00D25532"/>
    <w:rsid w:val="00D25834"/>
    <w:rsid w:val="00D25A62"/>
    <w:rsid w:val="00D260D9"/>
    <w:rsid w:val="00D304C7"/>
    <w:rsid w:val="00D3478B"/>
    <w:rsid w:val="00D356EE"/>
    <w:rsid w:val="00D36A99"/>
    <w:rsid w:val="00D4231E"/>
    <w:rsid w:val="00D4713C"/>
    <w:rsid w:val="00D50C72"/>
    <w:rsid w:val="00D51365"/>
    <w:rsid w:val="00D52CF7"/>
    <w:rsid w:val="00D53007"/>
    <w:rsid w:val="00D56ABB"/>
    <w:rsid w:val="00D614D2"/>
    <w:rsid w:val="00D645D6"/>
    <w:rsid w:val="00D66699"/>
    <w:rsid w:val="00D71987"/>
    <w:rsid w:val="00D72693"/>
    <w:rsid w:val="00D738B3"/>
    <w:rsid w:val="00D76C1E"/>
    <w:rsid w:val="00D76EFA"/>
    <w:rsid w:val="00D77D79"/>
    <w:rsid w:val="00D8004E"/>
    <w:rsid w:val="00D802A4"/>
    <w:rsid w:val="00D80A44"/>
    <w:rsid w:val="00D816FE"/>
    <w:rsid w:val="00D8554C"/>
    <w:rsid w:val="00D85EB5"/>
    <w:rsid w:val="00D878B1"/>
    <w:rsid w:val="00D90A9F"/>
    <w:rsid w:val="00D914DC"/>
    <w:rsid w:val="00D9287B"/>
    <w:rsid w:val="00D92D08"/>
    <w:rsid w:val="00D93276"/>
    <w:rsid w:val="00D93E36"/>
    <w:rsid w:val="00D95F6B"/>
    <w:rsid w:val="00D9659E"/>
    <w:rsid w:val="00D96ADB"/>
    <w:rsid w:val="00D97AAA"/>
    <w:rsid w:val="00D97BD8"/>
    <w:rsid w:val="00DA0310"/>
    <w:rsid w:val="00DA208F"/>
    <w:rsid w:val="00DA297C"/>
    <w:rsid w:val="00DA2FBA"/>
    <w:rsid w:val="00DB0E5B"/>
    <w:rsid w:val="00DB29F0"/>
    <w:rsid w:val="00DB58C9"/>
    <w:rsid w:val="00DD118A"/>
    <w:rsid w:val="00DD18B3"/>
    <w:rsid w:val="00DD3823"/>
    <w:rsid w:val="00DE05D5"/>
    <w:rsid w:val="00DE06C9"/>
    <w:rsid w:val="00DE0E3A"/>
    <w:rsid w:val="00DE4D18"/>
    <w:rsid w:val="00DE6789"/>
    <w:rsid w:val="00DE7D0E"/>
    <w:rsid w:val="00DF0B2D"/>
    <w:rsid w:val="00DF1A5D"/>
    <w:rsid w:val="00DF5A38"/>
    <w:rsid w:val="00DF6BD4"/>
    <w:rsid w:val="00E028A6"/>
    <w:rsid w:val="00E12F67"/>
    <w:rsid w:val="00E1543E"/>
    <w:rsid w:val="00E20B3C"/>
    <w:rsid w:val="00E21FB4"/>
    <w:rsid w:val="00E239AC"/>
    <w:rsid w:val="00E30C0A"/>
    <w:rsid w:val="00E321AB"/>
    <w:rsid w:val="00E510E4"/>
    <w:rsid w:val="00E51149"/>
    <w:rsid w:val="00E520CC"/>
    <w:rsid w:val="00E54096"/>
    <w:rsid w:val="00E54554"/>
    <w:rsid w:val="00E5526A"/>
    <w:rsid w:val="00E552EB"/>
    <w:rsid w:val="00E568D7"/>
    <w:rsid w:val="00E60563"/>
    <w:rsid w:val="00E60B55"/>
    <w:rsid w:val="00E621FC"/>
    <w:rsid w:val="00E63C9E"/>
    <w:rsid w:val="00E643A8"/>
    <w:rsid w:val="00E67370"/>
    <w:rsid w:val="00E70435"/>
    <w:rsid w:val="00E739DE"/>
    <w:rsid w:val="00E74A19"/>
    <w:rsid w:val="00E74C52"/>
    <w:rsid w:val="00E75F10"/>
    <w:rsid w:val="00E82292"/>
    <w:rsid w:val="00E82998"/>
    <w:rsid w:val="00E82A33"/>
    <w:rsid w:val="00E84ABC"/>
    <w:rsid w:val="00E84C5A"/>
    <w:rsid w:val="00E85CD4"/>
    <w:rsid w:val="00EA16D2"/>
    <w:rsid w:val="00EA26FF"/>
    <w:rsid w:val="00EA3F28"/>
    <w:rsid w:val="00EA4273"/>
    <w:rsid w:val="00EA6296"/>
    <w:rsid w:val="00EB248D"/>
    <w:rsid w:val="00EB2786"/>
    <w:rsid w:val="00EB4C2A"/>
    <w:rsid w:val="00EB5763"/>
    <w:rsid w:val="00EB5EC9"/>
    <w:rsid w:val="00EC1FCF"/>
    <w:rsid w:val="00EC6615"/>
    <w:rsid w:val="00ED2F89"/>
    <w:rsid w:val="00ED3214"/>
    <w:rsid w:val="00ED4BBB"/>
    <w:rsid w:val="00EE1DAD"/>
    <w:rsid w:val="00EE2E8C"/>
    <w:rsid w:val="00EF52A9"/>
    <w:rsid w:val="00F02B74"/>
    <w:rsid w:val="00F07B66"/>
    <w:rsid w:val="00F10183"/>
    <w:rsid w:val="00F12212"/>
    <w:rsid w:val="00F160E8"/>
    <w:rsid w:val="00F17599"/>
    <w:rsid w:val="00F21AC7"/>
    <w:rsid w:val="00F32CC8"/>
    <w:rsid w:val="00F41D24"/>
    <w:rsid w:val="00F424E7"/>
    <w:rsid w:val="00F42B5E"/>
    <w:rsid w:val="00F42D9F"/>
    <w:rsid w:val="00F43D6D"/>
    <w:rsid w:val="00F472BD"/>
    <w:rsid w:val="00F475B2"/>
    <w:rsid w:val="00F47EDD"/>
    <w:rsid w:val="00F5281F"/>
    <w:rsid w:val="00F53BFF"/>
    <w:rsid w:val="00F54040"/>
    <w:rsid w:val="00F55436"/>
    <w:rsid w:val="00F568D9"/>
    <w:rsid w:val="00F57C6B"/>
    <w:rsid w:val="00F758BE"/>
    <w:rsid w:val="00F77DBF"/>
    <w:rsid w:val="00F82A1B"/>
    <w:rsid w:val="00F86AC2"/>
    <w:rsid w:val="00F92AEB"/>
    <w:rsid w:val="00FA0EC1"/>
    <w:rsid w:val="00FA2D84"/>
    <w:rsid w:val="00FA40EF"/>
    <w:rsid w:val="00FA5051"/>
    <w:rsid w:val="00FB0552"/>
    <w:rsid w:val="00FB48A6"/>
    <w:rsid w:val="00FB4C5D"/>
    <w:rsid w:val="00FB6BCD"/>
    <w:rsid w:val="00FC493D"/>
    <w:rsid w:val="00FD1259"/>
    <w:rsid w:val="00FD3A8D"/>
    <w:rsid w:val="00FD3BAC"/>
    <w:rsid w:val="00FD4C2C"/>
    <w:rsid w:val="00FD5799"/>
    <w:rsid w:val="00FE1ED5"/>
    <w:rsid w:val="00FF2430"/>
    <w:rsid w:val="00FF369A"/>
    <w:rsid w:val="00FF3A75"/>
    <w:rsid w:val="00FF70DC"/>
    <w:rsid w:val="00FF7507"/>
    <w:rsid w:val="00FF7652"/>
    <w:rsid w:val="00FF779F"/>
    <w:rsid w:val="00FF7D8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0F4F938"/>
  <w15:chartTrackingRefBased/>
  <w15:docId w15:val="{2B862596-1ADA-498E-9DFF-95D02FF2D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32D63"/>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F61CC"/>
    <w:rPr>
      <w:color w:val="0000FF"/>
      <w:u w:val="single"/>
    </w:rPr>
  </w:style>
  <w:style w:type="paragraph" w:customStyle="1" w:styleId="MDPI71References">
    <w:name w:val="MDPI_7.1_References"/>
    <w:qFormat/>
    <w:rsid w:val="000F61CC"/>
    <w:pPr>
      <w:numPr>
        <w:numId w:val="1"/>
      </w:numPr>
      <w:adjustRightInd w:val="0"/>
      <w:snapToGrid w:val="0"/>
      <w:spacing w:after="0" w:line="228" w:lineRule="auto"/>
    </w:pPr>
    <w:rPr>
      <w:rFonts w:ascii="Palatino Linotype" w:eastAsia="Times New Roman" w:hAnsi="Palatino Linotype" w:cs="Times New Roman"/>
      <w:color w:val="000000"/>
      <w:kern w:val="0"/>
      <w:sz w:val="18"/>
      <w:szCs w:val="20"/>
      <w:lang w:eastAsia="de-DE" w:bidi="en-US"/>
    </w:rPr>
  </w:style>
  <w:style w:type="paragraph" w:styleId="a4">
    <w:name w:val="caption"/>
    <w:basedOn w:val="a"/>
    <w:next w:val="a"/>
    <w:uiPriority w:val="35"/>
    <w:unhideWhenUsed/>
    <w:qFormat/>
    <w:rsid w:val="000F61CC"/>
    <w:pPr>
      <w:widowControl/>
      <w:wordWrap/>
      <w:autoSpaceDE/>
      <w:autoSpaceDN/>
      <w:spacing w:after="0" w:line="260" w:lineRule="atLeast"/>
    </w:pPr>
    <w:rPr>
      <w:rFonts w:ascii="Palatino Linotype" w:eastAsia="SimSun" w:hAnsi="Palatino Linotype" w:cs="Times New Roman"/>
      <w:b/>
      <w:bCs/>
      <w:noProof/>
      <w:color w:val="000000"/>
      <w:kern w:val="0"/>
      <w:szCs w:val="20"/>
      <w:lang w:eastAsia="zh-CN"/>
    </w:rPr>
  </w:style>
  <w:style w:type="character" w:styleId="a5">
    <w:name w:val="annotation reference"/>
    <w:basedOn w:val="a0"/>
    <w:uiPriority w:val="99"/>
    <w:semiHidden/>
    <w:unhideWhenUsed/>
    <w:rsid w:val="00E520CC"/>
    <w:rPr>
      <w:sz w:val="18"/>
      <w:szCs w:val="18"/>
    </w:rPr>
  </w:style>
  <w:style w:type="paragraph" w:styleId="a6">
    <w:name w:val="annotation text"/>
    <w:basedOn w:val="a"/>
    <w:link w:val="Char"/>
    <w:uiPriority w:val="99"/>
    <w:unhideWhenUsed/>
    <w:rsid w:val="00E520CC"/>
    <w:pPr>
      <w:jc w:val="left"/>
    </w:pPr>
  </w:style>
  <w:style w:type="character" w:customStyle="1" w:styleId="Char">
    <w:name w:val="메모 텍스트 Char"/>
    <w:basedOn w:val="a0"/>
    <w:link w:val="a6"/>
    <w:uiPriority w:val="99"/>
    <w:rsid w:val="00E520CC"/>
  </w:style>
  <w:style w:type="paragraph" w:styleId="a7">
    <w:name w:val="annotation subject"/>
    <w:basedOn w:val="a6"/>
    <w:next w:val="a6"/>
    <w:link w:val="Char0"/>
    <w:uiPriority w:val="99"/>
    <w:semiHidden/>
    <w:unhideWhenUsed/>
    <w:rsid w:val="00E520CC"/>
    <w:rPr>
      <w:b/>
      <w:bCs/>
    </w:rPr>
  </w:style>
  <w:style w:type="character" w:customStyle="1" w:styleId="Char0">
    <w:name w:val="메모 주제 Char"/>
    <w:basedOn w:val="Char"/>
    <w:link w:val="a7"/>
    <w:uiPriority w:val="99"/>
    <w:semiHidden/>
    <w:rsid w:val="00E520CC"/>
    <w:rPr>
      <w:b/>
      <w:bCs/>
    </w:rPr>
  </w:style>
  <w:style w:type="paragraph" w:styleId="a8">
    <w:name w:val="Balloon Text"/>
    <w:basedOn w:val="a"/>
    <w:link w:val="Char1"/>
    <w:uiPriority w:val="99"/>
    <w:semiHidden/>
    <w:unhideWhenUsed/>
    <w:rsid w:val="00E520CC"/>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8"/>
    <w:uiPriority w:val="99"/>
    <w:semiHidden/>
    <w:rsid w:val="00E520CC"/>
    <w:rPr>
      <w:rFonts w:asciiTheme="majorHAnsi" w:eastAsiaTheme="majorEastAsia" w:hAnsiTheme="majorHAnsi" w:cstheme="majorBidi"/>
      <w:sz w:val="18"/>
      <w:szCs w:val="18"/>
    </w:rPr>
  </w:style>
  <w:style w:type="paragraph" w:styleId="a9">
    <w:name w:val="header"/>
    <w:basedOn w:val="a"/>
    <w:link w:val="Char2"/>
    <w:uiPriority w:val="99"/>
    <w:unhideWhenUsed/>
    <w:rsid w:val="00581724"/>
    <w:pPr>
      <w:tabs>
        <w:tab w:val="center" w:pos="4513"/>
        <w:tab w:val="right" w:pos="9026"/>
      </w:tabs>
      <w:snapToGrid w:val="0"/>
    </w:pPr>
  </w:style>
  <w:style w:type="character" w:customStyle="1" w:styleId="Char2">
    <w:name w:val="머리글 Char"/>
    <w:basedOn w:val="a0"/>
    <w:link w:val="a9"/>
    <w:uiPriority w:val="99"/>
    <w:rsid w:val="00581724"/>
  </w:style>
  <w:style w:type="paragraph" w:styleId="aa">
    <w:name w:val="footer"/>
    <w:basedOn w:val="a"/>
    <w:link w:val="Char3"/>
    <w:uiPriority w:val="99"/>
    <w:unhideWhenUsed/>
    <w:rsid w:val="00581724"/>
    <w:pPr>
      <w:tabs>
        <w:tab w:val="center" w:pos="4513"/>
        <w:tab w:val="right" w:pos="9026"/>
      </w:tabs>
      <w:snapToGrid w:val="0"/>
    </w:pPr>
  </w:style>
  <w:style w:type="character" w:customStyle="1" w:styleId="Char3">
    <w:name w:val="바닥글 Char"/>
    <w:basedOn w:val="a0"/>
    <w:link w:val="aa"/>
    <w:uiPriority w:val="99"/>
    <w:rsid w:val="00581724"/>
  </w:style>
  <w:style w:type="paragraph" w:styleId="ab">
    <w:name w:val="List Paragraph"/>
    <w:basedOn w:val="a"/>
    <w:uiPriority w:val="34"/>
    <w:qFormat/>
    <w:rsid w:val="00B646B7"/>
    <w:pPr>
      <w:ind w:leftChars="400" w:left="800"/>
    </w:pPr>
  </w:style>
  <w:style w:type="paragraph" w:styleId="ac">
    <w:name w:val="Normal (Web)"/>
    <w:basedOn w:val="a"/>
    <w:uiPriority w:val="99"/>
    <w:semiHidden/>
    <w:unhideWhenUsed/>
    <w:rsid w:val="00AB1356"/>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styleId="ad">
    <w:name w:val="Strong"/>
    <w:basedOn w:val="a0"/>
    <w:uiPriority w:val="22"/>
    <w:qFormat/>
    <w:rsid w:val="00AB1356"/>
    <w:rPr>
      <w:b/>
      <w:bCs/>
    </w:rPr>
  </w:style>
  <w:style w:type="character" w:styleId="ae">
    <w:name w:val="Placeholder Text"/>
    <w:basedOn w:val="a0"/>
    <w:uiPriority w:val="99"/>
    <w:semiHidden/>
    <w:rsid w:val="00E54096"/>
    <w:rPr>
      <w:color w:val="808080"/>
    </w:rPr>
  </w:style>
  <w:style w:type="character" w:styleId="af">
    <w:name w:val="Unresolved Mention"/>
    <w:basedOn w:val="a0"/>
    <w:uiPriority w:val="99"/>
    <w:semiHidden/>
    <w:unhideWhenUsed/>
    <w:rsid w:val="006F20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91313">
      <w:bodyDiv w:val="1"/>
      <w:marLeft w:val="0"/>
      <w:marRight w:val="0"/>
      <w:marTop w:val="0"/>
      <w:marBottom w:val="0"/>
      <w:divBdr>
        <w:top w:val="none" w:sz="0" w:space="0" w:color="auto"/>
        <w:left w:val="none" w:sz="0" w:space="0" w:color="auto"/>
        <w:bottom w:val="none" w:sz="0" w:space="0" w:color="auto"/>
        <w:right w:val="none" w:sz="0" w:space="0" w:color="auto"/>
      </w:divBdr>
      <w:divsChild>
        <w:div w:id="124737486">
          <w:marLeft w:val="0"/>
          <w:marRight w:val="0"/>
          <w:marTop w:val="0"/>
          <w:marBottom w:val="0"/>
          <w:divBdr>
            <w:top w:val="none" w:sz="0" w:space="0" w:color="auto"/>
            <w:left w:val="none" w:sz="0" w:space="0" w:color="auto"/>
            <w:bottom w:val="none" w:sz="0" w:space="0" w:color="auto"/>
            <w:right w:val="none" w:sz="0" w:space="0" w:color="auto"/>
          </w:divBdr>
          <w:divsChild>
            <w:div w:id="781266814">
              <w:marLeft w:val="0"/>
              <w:marRight w:val="0"/>
              <w:marTop w:val="0"/>
              <w:marBottom w:val="0"/>
              <w:divBdr>
                <w:top w:val="none" w:sz="0" w:space="0" w:color="auto"/>
                <w:left w:val="none" w:sz="0" w:space="0" w:color="auto"/>
                <w:bottom w:val="none" w:sz="0" w:space="0" w:color="auto"/>
                <w:right w:val="none" w:sz="0" w:space="0" w:color="auto"/>
              </w:divBdr>
            </w:div>
          </w:divsChild>
        </w:div>
        <w:div w:id="594940594">
          <w:marLeft w:val="0"/>
          <w:marRight w:val="0"/>
          <w:marTop w:val="0"/>
          <w:marBottom w:val="0"/>
          <w:divBdr>
            <w:top w:val="none" w:sz="0" w:space="0" w:color="auto"/>
            <w:left w:val="none" w:sz="0" w:space="0" w:color="auto"/>
            <w:bottom w:val="none" w:sz="0" w:space="0" w:color="auto"/>
            <w:right w:val="none" w:sz="0" w:space="0" w:color="auto"/>
          </w:divBdr>
          <w:divsChild>
            <w:div w:id="418991761">
              <w:marLeft w:val="0"/>
              <w:marRight w:val="0"/>
              <w:marTop w:val="0"/>
              <w:marBottom w:val="0"/>
              <w:divBdr>
                <w:top w:val="none" w:sz="0" w:space="0" w:color="auto"/>
                <w:left w:val="none" w:sz="0" w:space="0" w:color="auto"/>
                <w:bottom w:val="none" w:sz="0" w:space="0" w:color="auto"/>
                <w:right w:val="none" w:sz="0" w:space="0" w:color="auto"/>
              </w:divBdr>
            </w:div>
          </w:divsChild>
        </w:div>
        <w:div w:id="176625721">
          <w:marLeft w:val="0"/>
          <w:marRight w:val="0"/>
          <w:marTop w:val="0"/>
          <w:marBottom w:val="0"/>
          <w:divBdr>
            <w:top w:val="none" w:sz="0" w:space="0" w:color="auto"/>
            <w:left w:val="none" w:sz="0" w:space="0" w:color="auto"/>
            <w:bottom w:val="none" w:sz="0" w:space="0" w:color="auto"/>
            <w:right w:val="none" w:sz="0" w:space="0" w:color="auto"/>
          </w:divBdr>
          <w:divsChild>
            <w:div w:id="900598738">
              <w:marLeft w:val="0"/>
              <w:marRight w:val="0"/>
              <w:marTop w:val="0"/>
              <w:marBottom w:val="0"/>
              <w:divBdr>
                <w:top w:val="none" w:sz="0" w:space="0" w:color="auto"/>
                <w:left w:val="none" w:sz="0" w:space="0" w:color="auto"/>
                <w:bottom w:val="none" w:sz="0" w:space="0" w:color="auto"/>
                <w:right w:val="none" w:sz="0" w:space="0" w:color="auto"/>
              </w:divBdr>
            </w:div>
          </w:divsChild>
        </w:div>
        <w:div w:id="618032597">
          <w:marLeft w:val="0"/>
          <w:marRight w:val="0"/>
          <w:marTop w:val="0"/>
          <w:marBottom w:val="0"/>
          <w:divBdr>
            <w:top w:val="none" w:sz="0" w:space="0" w:color="auto"/>
            <w:left w:val="none" w:sz="0" w:space="0" w:color="auto"/>
            <w:bottom w:val="none" w:sz="0" w:space="0" w:color="auto"/>
            <w:right w:val="none" w:sz="0" w:space="0" w:color="auto"/>
          </w:divBdr>
          <w:divsChild>
            <w:div w:id="1513758249">
              <w:marLeft w:val="0"/>
              <w:marRight w:val="0"/>
              <w:marTop w:val="0"/>
              <w:marBottom w:val="0"/>
              <w:divBdr>
                <w:top w:val="none" w:sz="0" w:space="0" w:color="auto"/>
                <w:left w:val="none" w:sz="0" w:space="0" w:color="auto"/>
                <w:bottom w:val="none" w:sz="0" w:space="0" w:color="auto"/>
                <w:right w:val="none" w:sz="0" w:space="0" w:color="auto"/>
              </w:divBdr>
            </w:div>
          </w:divsChild>
        </w:div>
        <w:div w:id="548609308">
          <w:marLeft w:val="0"/>
          <w:marRight w:val="0"/>
          <w:marTop w:val="0"/>
          <w:marBottom w:val="0"/>
          <w:divBdr>
            <w:top w:val="none" w:sz="0" w:space="0" w:color="auto"/>
            <w:left w:val="none" w:sz="0" w:space="0" w:color="auto"/>
            <w:bottom w:val="none" w:sz="0" w:space="0" w:color="auto"/>
            <w:right w:val="none" w:sz="0" w:space="0" w:color="auto"/>
          </w:divBdr>
          <w:divsChild>
            <w:div w:id="539632196">
              <w:marLeft w:val="0"/>
              <w:marRight w:val="0"/>
              <w:marTop w:val="0"/>
              <w:marBottom w:val="0"/>
              <w:divBdr>
                <w:top w:val="none" w:sz="0" w:space="0" w:color="auto"/>
                <w:left w:val="none" w:sz="0" w:space="0" w:color="auto"/>
                <w:bottom w:val="none" w:sz="0" w:space="0" w:color="auto"/>
                <w:right w:val="none" w:sz="0" w:space="0" w:color="auto"/>
              </w:divBdr>
            </w:div>
          </w:divsChild>
        </w:div>
        <w:div w:id="861936695">
          <w:marLeft w:val="0"/>
          <w:marRight w:val="0"/>
          <w:marTop w:val="0"/>
          <w:marBottom w:val="0"/>
          <w:divBdr>
            <w:top w:val="none" w:sz="0" w:space="0" w:color="auto"/>
            <w:left w:val="none" w:sz="0" w:space="0" w:color="auto"/>
            <w:bottom w:val="none" w:sz="0" w:space="0" w:color="auto"/>
            <w:right w:val="none" w:sz="0" w:space="0" w:color="auto"/>
          </w:divBdr>
          <w:divsChild>
            <w:div w:id="1124467276">
              <w:marLeft w:val="0"/>
              <w:marRight w:val="0"/>
              <w:marTop w:val="0"/>
              <w:marBottom w:val="0"/>
              <w:divBdr>
                <w:top w:val="none" w:sz="0" w:space="0" w:color="auto"/>
                <w:left w:val="none" w:sz="0" w:space="0" w:color="auto"/>
                <w:bottom w:val="none" w:sz="0" w:space="0" w:color="auto"/>
                <w:right w:val="none" w:sz="0" w:space="0" w:color="auto"/>
              </w:divBdr>
            </w:div>
          </w:divsChild>
        </w:div>
        <w:div w:id="95562933">
          <w:marLeft w:val="0"/>
          <w:marRight w:val="0"/>
          <w:marTop w:val="0"/>
          <w:marBottom w:val="0"/>
          <w:divBdr>
            <w:top w:val="none" w:sz="0" w:space="0" w:color="auto"/>
            <w:left w:val="none" w:sz="0" w:space="0" w:color="auto"/>
            <w:bottom w:val="none" w:sz="0" w:space="0" w:color="auto"/>
            <w:right w:val="none" w:sz="0" w:space="0" w:color="auto"/>
          </w:divBdr>
          <w:divsChild>
            <w:div w:id="1885479148">
              <w:marLeft w:val="0"/>
              <w:marRight w:val="0"/>
              <w:marTop w:val="0"/>
              <w:marBottom w:val="0"/>
              <w:divBdr>
                <w:top w:val="none" w:sz="0" w:space="0" w:color="auto"/>
                <w:left w:val="none" w:sz="0" w:space="0" w:color="auto"/>
                <w:bottom w:val="none" w:sz="0" w:space="0" w:color="auto"/>
                <w:right w:val="none" w:sz="0" w:space="0" w:color="auto"/>
              </w:divBdr>
            </w:div>
          </w:divsChild>
        </w:div>
        <w:div w:id="1069353380">
          <w:marLeft w:val="0"/>
          <w:marRight w:val="0"/>
          <w:marTop w:val="0"/>
          <w:marBottom w:val="0"/>
          <w:divBdr>
            <w:top w:val="none" w:sz="0" w:space="0" w:color="auto"/>
            <w:left w:val="none" w:sz="0" w:space="0" w:color="auto"/>
            <w:bottom w:val="none" w:sz="0" w:space="0" w:color="auto"/>
            <w:right w:val="none" w:sz="0" w:space="0" w:color="auto"/>
          </w:divBdr>
          <w:divsChild>
            <w:div w:id="1017580950">
              <w:marLeft w:val="0"/>
              <w:marRight w:val="0"/>
              <w:marTop w:val="0"/>
              <w:marBottom w:val="0"/>
              <w:divBdr>
                <w:top w:val="none" w:sz="0" w:space="0" w:color="auto"/>
                <w:left w:val="none" w:sz="0" w:space="0" w:color="auto"/>
                <w:bottom w:val="none" w:sz="0" w:space="0" w:color="auto"/>
                <w:right w:val="none" w:sz="0" w:space="0" w:color="auto"/>
              </w:divBdr>
            </w:div>
          </w:divsChild>
        </w:div>
        <w:div w:id="1667784340">
          <w:marLeft w:val="0"/>
          <w:marRight w:val="0"/>
          <w:marTop w:val="0"/>
          <w:marBottom w:val="0"/>
          <w:divBdr>
            <w:top w:val="none" w:sz="0" w:space="0" w:color="auto"/>
            <w:left w:val="none" w:sz="0" w:space="0" w:color="auto"/>
            <w:bottom w:val="none" w:sz="0" w:space="0" w:color="auto"/>
            <w:right w:val="none" w:sz="0" w:space="0" w:color="auto"/>
          </w:divBdr>
          <w:divsChild>
            <w:div w:id="1665624164">
              <w:marLeft w:val="0"/>
              <w:marRight w:val="0"/>
              <w:marTop w:val="0"/>
              <w:marBottom w:val="0"/>
              <w:divBdr>
                <w:top w:val="none" w:sz="0" w:space="0" w:color="auto"/>
                <w:left w:val="none" w:sz="0" w:space="0" w:color="auto"/>
                <w:bottom w:val="none" w:sz="0" w:space="0" w:color="auto"/>
                <w:right w:val="none" w:sz="0" w:space="0" w:color="auto"/>
              </w:divBdr>
            </w:div>
          </w:divsChild>
        </w:div>
        <w:div w:id="1066218102">
          <w:marLeft w:val="0"/>
          <w:marRight w:val="0"/>
          <w:marTop w:val="0"/>
          <w:marBottom w:val="0"/>
          <w:divBdr>
            <w:top w:val="none" w:sz="0" w:space="0" w:color="auto"/>
            <w:left w:val="none" w:sz="0" w:space="0" w:color="auto"/>
            <w:bottom w:val="none" w:sz="0" w:space="0" w:color="auto"/>
            <w:right w:val="none" w:sz="0" w:space="0" w:color="auto"/>
          </w:divBdr>
          <w:divsChild>
            <w:div w:id="1954750518">
              <w:marLeft w:val="0"/>
              <w:marRight w:val="0"/>
              <w:marTop w:val="0"/>
              <w:marBottom w:val="0"/>
              <w:divBdr>
                <w:top w:val="none" w:sz="0" w:space="0" w:color="auto"/>
                <w:left w:val="none" w:sz="0" w:space="0" w:color="auto"/>
                <w:bottom w:val="none" w:sz="0" w:space="0" w:color="auto"/>
                <w:right w:val="none" w:sz="0" w:space="0" w:color="auto"/>
              </w:divBdr>
            </w:div>
          </w:divsChild>
        </w:div>
        <w:div w:id="1475021225">
          <w:marLeft w:val="0"/>
          <w:marRight w:val="0"/>
          <w:marTop w:val="0"/>
          <w:marBottom w:val="0"/>
          <w:divBdr>
            <w:top w:val="none" w:sz="0" w:space="0" w:color="auto"/>
            <w:left w:val="none" w:sz="0" w:space="0" w:color="auto"/>
            <w:bottom w:val="none" w:sz="0" w:space="0" w:color="auto"/>
            <w:right w:val="none" w:sz="0" w:space="0" w:color="auto"/>
          </w:divBdr>
          <w:divsChild>
            <w:div w:id="1797141556">
              <w:marLeft w:val="0"/>
              <w:marRight w:val="0"/>
              <w:marTop w:val="0"/>
              <w:marBottom w:val="0"/>
              <w:divBdr>
                <w:top w:val="none" w:sz="0" w:space="0" w:color="auto"/>
                <w:left w:val="none" w:sz="0" w:space="0" w:color="auto"/>
                <w:bottom w:val="none" w:sz="0" w:space="0" w:color="auto"/>
                <w:right w:val="none" w:sz="0" w:space="0" w:color="auto"/>
              </w:divBdr>
            </w:div>
          </w:divsChild>
        </w:div>
        <w:div w:id="431899162">
          <w:marLeft w:val="0"/>
          <w:marRight w:val="0"/>
          <w:marTop w:val="0"/>
          <w:marBottom w:val="0"/>
          <w:divBdr>
            <w:top w:val="none" w:sz="0" w:space="0" w:color="auto"/>
            <w:left w:val="none" w:sz="0" w:space="0" w:color="auto"/>
            <w:bottom w:val="none" w:sz="0" w:space="0" w:color="auto"/>
            <w:right w:val="none" w:sz="0" w:space="0" w:color="auto"/>
          </w:divBdr>
          <w:divsChild>
            <w:div w:id="36834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18531">
      <w:bodyDiv w:val="1"/>
      <w:marLeft w:val="0"/>
      <w:marRight w:val="0"/>
      <w:marTop w:val="0"/>
      <w:marBottom w:val="0"/>
      <w:divBdr>
        <w:top w:val="none" w:sz="0" w:space="0" w:color="auto"/>
        <w:left w:val="none" w:sz="0" w:space="0" w:color="auto"/>
        <w:bottom w:val="none" w:sz="0" w:space="0" w:color="auto"/>
        <w:right w:val="none" w:sz="0" w:space="0" w:color="auto"/>
      </w:divBdr>
      <w:divsChild>
        <w:div w:id="1077898394">
          <w:marLeft w:val="0"/>
          <w:marRight w:val="0"/>
          <w:marTop w:val="0"/>
          <w:marBottom w:val="0"/>
          <w:divBdr>
            <w:top w:val="single" w:sz="2" w:space="0" w:color="auto"/>
            <w:left w:val="single" w:sz="2" w:space="0" w:color="auto"/>
            <w:bottom w:val="single" w:sz="2" w:space="0" w:color="auto"/>
            <w:right w:val="single" w:sz="2" w:space="0" w:color="auto"/>
          </w:divBdr>
          <w:divsChild>
            <w:div w:id="1091775769">
              <w:marLeft w:val="0"/>
              <w:marRight w:val="0"/>
              <w:marTop w:val="0"/>
              <w:marBottom w:val="0"/>
              <w:divBdr>
                <w:top w:val="single" w:sz="2" w:space="0" w:color="auto"/>
                <w:left w:val="single" w:sz="2" w:space="0" w:color="auto"/>
                <w:bottom w:val="single" w:sz="2" w:space="0" w:color="auto"/>
                <w:right w:val="single" w:sz="2" w:space="0" w:color="auto"/>
              </w:divBdr>
              <w:divsChild>
                <w:div w:id="1880776479">
                  <w:marLeft w:val="0"/>
                  <w:marRight w:val="0"/>
                  <w:marTop w:val="0"/>
                  <w:marBottom w:val="0"/>
                  <w:divBdr>
                    <w:top w:val="single" w:sz="2" w:space="0" w:color="auto"/>
                    <w:left w:val="single" w:sz="2" w:space="0" w:color="auto"/>
                    <w:bottom w:val="single" w:sz="2" w:space="0" w:color="auto"/>
                    <w:right w:val="single" w:sz="2" w:space="0" w:color="auto"/>
                  </w:divBdr>
                  <w:divsChild>
                    <w:div w:id="1636645525">
                      <w:marLeft w:val="0"/>
                      <w:marRight w:val="0"/>
                      <w:marTop w:val="0"/>
                      <w:marBottom w:val="0"/>
                      <w:divBdr>
                        <w:top w:val="single" w:sz="2" w:space="0" w:color="auto"/>
                        <w:left w:val="single" w:sz="2" w:space="0" w:color="auto"/>
                        <w:bottom w:val="single" w:sz="2" w:space="0" w:color="auto"/>
                        <w:right w:val="single" w:sz="2" w:space="0" w:color="auto"/>
                      </w:divBdr>
                      <w:divsChild>
                        <w:div w:id="1340228845">
                          <w:marLeft w:val="0"/>
                          <w:marRight w:val="0"/>
                          <w:marTop w:val="0"/>
                          <w:marBottom w:val="0"/>
                          <w:divBdr>
                            <w:top w:val="single" w:sz="2" w:space="0" w:color="auto"/>
                            <w:left w:val="single" w:sz="2" w:space="0" w:color="auto"/>
                            <w:bottom w:val="single" w:sz="2" w:space="0" w:color="auto"/>
                            <w:right w:val="single" w:sz="2" w:space="0" w:color="auto"/>
                          </w:divBdr>
                          <w:divsChild>
                            <w:div w:id="25838415">
                              <w:marLeft w:val="0"/>
                              <w:marRight w:val="0"/>
                              <w:marTop w:val="0"/>
                              <w:marBottom w:val="0"/>
                              <w:divBdr>
                                <w:top w:val="single" w:sz="2" w:space="0" w:color="auto"/>
                                <w:left w:val="single" w:sz="2" w:space="0" w:color="auto"/>
                                <w:bottom w:val="single" w:sz="2" w:space="0" w:color="auto"/>
                                <w:right w:val="single" w:sz="2" w:space="0" w:color="auto"/>
                              </w:divBdr>
                              <w:divsChild>
                                <w:div w:id="1835492382">
                                  <w:marLeft w:val="0"/>
                                  <w:marRight w:val="0"/>
                                  <w:marTop w:val="0"/>
                                  <w:marBottom w:val="0"/>
                                  <w:divBdr>
                                    <w:top w:val="single" w:sz="2" w:space="31" w:color="auto"/>
                                    <w:left w:val="single" w:sz="2" w:space="19" w:color="auto"/>
                                    <w:bottom w:val="single" w:sz="2" w:space="19" w:color="auto"/>
                                    <w:right w:val="single" w:sz="2" w:space="19" w:color="auto"/>
                                  </w:divBdr>
                                  <w:divsChild>
                                    <w:div w:id="46839698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sChild>
            </w:div>
          </w:divsChild>
        </w:div>
      </w:divsChild>
    </w:div>
    <w:div w:id="128669114">
      <w:bodyDiv w:val="1"/>
      <w:marLeft w:val="0"/>
      <w:marRight w:val="0"/>
      <w:marTop w:val="0"/>
      <w:marBottom w:val="0"/>
      <w:divBdr>
        <w:top w:val="none" w:sz="0" w:space="0" w:color="auto"/>
        <w:left w:val="none" w:sz="0" w:space="0" w:color="auto"/>
        <w:bottom w:val="none" w:sz="0" w:space="0" w:color="auto"/>
        <w:right w:val="none" w:sz="0" w:space="0" w:color="auto"/>
      </w:divBdr>
    </w:div>
    <w:div w:id="150097973">
      <w:bodyDiv w:val="1"/>
      <w:marLeft w:val="0"/>
      <w:marRight w:val="0"/>
      <w:marTop w:val="0"/>
      <w:marBottom w:val="0"/>
      <w:divBdr>
        <w:top w:val="none" w:sz="0" w:space="0" w:color="auto"/>
        <w:left w:val="none" w:sz="0" w:space="0" w:color="auto"/>
        <w:bottom w:val="none" w:sz="0" w:space="0" w:color="auto"/>
        <w:right w:val="none" w:sz="0" w:space="0" w:color="auto"/>
      </w:divBdr>
    </w:div>
    <w:div w:id="204293998">
      <w:bodyDiv w:val="1"/>
      <w:marLeft w:val="0"/>
      <w:marRight w:val="0"/>
      <w:marTop w:val="0"/>
      <w:marBottom w:val="0"/>
      <w:divBdr>
        <w:top w:val="none" w:sz="0" w:space="0" w:color="auto"/>
        <w:left w:val="none" w:sz="0" w:space="0" w:color="auto"/>
        <w:bottom w:val="none" w:sz="0" w:space="0" w:color="auto"/>
        <w:right w:val="none" w:sz="0" w:space="0" w:color="auto"/>
      </w:divBdr>
    </w:div>
    <w:div w:id="263466545">
      <w:bodyDiv w:val="1"/>
      <w:marLeft w:val="0"/>
      <w:marRight w:val="0"/>
      <w:marTop w:val="0"/>
      <w:marBottom w:val="0"/>
      <w:divBdr>
        <w:top w:val="none" w:sz="0" w:space="0" w:color="auto"/>
        <w:left w:val="none" w:sz="0" w:space="0" w:color="auto"/>
        <w:bottom w:val="none" w:sz="0" w:space="0" w:color="auto"/>
        <w:right w:val="none" w:sz="0" w:space="0" w:color="auto"/>
      </w:divBdr>
    </w:div>
    <w:div w:id="269627582">
      <w:bodyDiv w:val="1"/>
      <w:marLeft w:val="0"/>
      <w:marRight w:val="0"/>
      <w:marTop w:val="0"/>
      <w:marBottom w:val="0"/>
      <w:divBdr>
        <w:top w:val="none" w:sz="0" w:space="0" w:color="auto"/>
        <w:left w:val="none" w:sz="0" w:space="0" w:color="auto"/>
        <w:bottom w:val="none" w:sz="0" w:space="0" w:color="auto"/>
        <w:right w:val="none" w:sz="0" w:space="0" w:color="auto"/>
      </w:divBdr>
    </w:div>
    <w:div w:id="329023305">
      <w:bodyDiv w:val="1"/>
      <w:marLeft w:val="0"/>
      <w:marRight w:val="0"/>
      <w:marTop w:val="0"/>
      <w:marBottom w:val="0"/>
      <w:divBdr>
        <w:top w:val="none" w:sz="0" w:space="0" w:color="auto"/>
        <w:left w:val="none" w:sz="0" w:space="0" w:color="auto"/>
        <w:bottom w:val="none" w:sz="0" w:space="0" w:color="auto"/>
        <w:right w:val="none" w:sz="0" w:space="0" w:color="auto"/>
      </w:divBdr>
    </w:div>
    <w:div w:id="339165939">
      <w:bodyDiv w:val="1"/>
      <w:marLeft w:val="0"/>
      <w:marRight w:val="0"/>
      <w:marTop w:val="0"/>
      <w:marBottom w:val="0"/>
      <w:divBdr>
        <w:top w:val="none" w:sz="0" w:space="0" w:color="auto"/>
        <w:left w:val="none" w:sz="0" w:space="0" w:color="auto"/>
        <w:bottom w:val="none" w:sz="0" w:space="0" w:color="auto"/>
        <w:right w:val="none" w:sz="0" w:space="0" w:color="auto"/>
      </w:divBdr>
    </w:div>
    <w:div w:id="473108788">
      <w:bodyDiv w:val="1"/>
      <w:marLeft w:val="0"/>
      <w:marRight w:val="0"/>
      <w:marTop w:val="0"/>
      <w:marBottom w:val="0"/>
      <w:divBdr>
        <w:top w:val="none" w:sz="0" w:space="0" w:color="auto"/>
        <w:left w:val="none" w:sz="0" w:space="0" w:color="auto"/>
        <w:bottom w:val="none" w:sz="0" w:space="0" w:color="auto"/>
        <w:right w:val="none" w:sz="0" w:space="0" w:color="auto"/>
      </w:divBdr>
    </w:div>
    <w:div w:id="621419171">
      <w:bodyDiv w:val="1"/>
      <w:marLeft w:val="0"/>
      <w:marRight w:val="0"/>
      <w:marTop w:val="0"/>
      <w:marBottom w:val="0"/>
      <w:divBdr>
        <w:top w:val="none" w:sz="0" w:space="0" w:color="auto"/>
        <w:left w:val="none" w:sz="0" w:space="0" w:color="auto"/>
        <w:bottom w:val="none" w:sz="0" w:space="0" w:color="auto"/>
        <w:right w:val="none" w:sz="0" w:space="0" w:color="auto"/>
      </w:divBdr>
    </w:div>
    <w:div w:id="644547711">
      <w:bodyDiv w:val="1"/>
      <w:marLeft w:val="0"/>
      <w:marRight w:val="0"/>
      <w:marTop w:val="0"/>
      <w:marBottom w:val="0"/>
      <w:divBdr>
        <w:top w:val="none" w:sz="0" w:space="0" w:color="auto"/>
        <w:left w:val="none" w:sz="0" w:space="0" w:color="auto"/>
        <w:bottom w:val="none" w:sz="0" w:space="0" w:color="auto"/>
        <w:right w:val="none" w:sz="0" w:space="0" w:color="auto"/>
      </w:divBdr>
    </w:div>
    <w:div w:id="702286585">
      <w:bodyDiv w:val="1"/>
      <w:marLeft w:val="0"/>
      <w:marRight w:val="0"/>
      <w:marTop w:val="0"/>
      <w:marBottom w:val="0"/>
      <w:divBdr>
        <w:top w:val="none" w:sz="0" w:space="0" w:color="auto"/>
        <w:left w:val="none" w:sz="0" w:space="0" w:color="auto"/>
        <w:bottom w:val="none" w:sz="0" w:space="0" w:color="auto"/>
        <w:right w:val="none" w:sz="0" w:space="0" w:color="auto"/>
      </w:divBdr>
    </w:div>
    <w:div w:id="737627987">
      <w:bodyDiv w:val="1"/>
      <w:marLeft w:val="0"/>
      <w:marRight w:val="0"/>
      <w:marTop w:val="0"/>
      <w:marBottom w:val="0"/>
      <w:divBdr>
        <w:top w:val="none" w:sz="0" w:space="0" w:color="auto"/>
        <w:left w:val="none" w:sz="0" w:space="0" w:color="auto"/>
        <w:bottom w:val="none" w:sz="0" w:space="0" w:color="auto"/>
        <w:right w:val="none" w:sz="0" w:space="0" w:color="auto"/>
      </w:divBdr>
    </w:div>
    <w:div w:id="756246158">
      <w:bodyDiv w:val="1"/>
      <w:marLeft w:val="0"/>
      <w:marRight w:val="0"/>
      <w:marTop w:val="0"/>
      <w:marBottom w:val="0"/>
      <w:divBdr>
        <w:top w:val="none" w:sz="0" w:space="0" w:color="auto"/>
        <w:left w:val="none" w:sz="0" w:space="0" w:color="auto"/>
        <w:bottom w:val="none" w:sz="0" w:space="0" w:color="auto"/>
        <w:right w:val="none" w:sz="0" w:space="0" w:color="auto"/>
      </w:divBdr>
    </w:div>
    <w:div w:id="791170490">
      <w:bodyDiv w:val="1"/>
      <w:marLeft w:val="0"/>
      <w:marRight w:val="0"/>
      <w:marTop w:val="0"/>
      <w:marBottom w:val="0"/>
      <w:divBdr>
        <w:top w:val="none" w:sz="0" w:space="0" w:color="auto"/>
        <w:left w:val="none" w:sz="0" w:space="0" w:color="auto"/>
        <w:bottom w:val="none" w:sz="0" w:space="0" w:color="auto"/>
        <w:right w:val="none" w:sz="0" w:space="0" w:color="auto"/>
      </w:divBdr>
    </w:div>
    <w:div w:id="791438049">
      <w:bodyDiv w:val="1"/>
      <w:marLeft w:val="0"/>
      <w:marRight w:val="0"/>
      <w:marTop w:val="0"/>
      <w:marBottom w:val="0"/>
      <w:divBdr>
        <w:top w:val="none" w:sz="0" w:space="0" w:color="auto"/>
        <w:left w:val="none" w:sz="0" w:space="0" w:color="auto"/>
        <w:bottom w:val="none" w:sz="0" w:space="0" w:color="auto"/>
        <w:right w:val="none" w:sz="0" w:space="0" w:color="auto"/>
      </w:divBdr>
    </w:div>
    <w:div w:id="901525411">
      <w:bodyDiv w:val="1"/>
      <w:marLeft w:val="0"/>
      <w:marRight w:val="0"/>
      <w:marTop w:val="0"/>
      <w:marBottom w:val="0"/>
      <w:divBdr>
        <w:top w:val="none" w:sz="0" w:space="0" w:color="auto"/>
        <w:left w:val="none" w:sz="0" w:space="0" w:color="auto"/>
        <w:bottom w:val="none" w:sz="0" w:space="0" w:color="auto"/>
        <w:right w:val="none" w:sz="0" w:space="0" w:color="auto"/>
      </w:divBdr>
    </w:div>
    <w:div w:id="981692011">
      <w:bodyDiv w:val="1"/>
      <w:marLeft w:val="0"/>
      <w:marRight w:val="0"/>
      <w:marTop w:val="0"/>
      <w:marBottom w:val="0"/>
      <w:divBdr>
        <w:top w:val="none" w:sz="0" w:space="0" w:color="auto"/>
        <w:left w:val="none" w:sz="0" w:space="0" w:color="auto"/>
        <w:bottom w:val="none" w:sz="0" w:space="0" w:color="auto"/>
        <w:right w:val="none" w:sz="0" w:space="0" w:color="auto"/>
      </w:divBdr>
    </w:div>
    <w:div w:id="1028214132">
      <w:bodyDiv w:val="1"/>
      <w:marLeft w:val="0"/>
      <w:marRight w:val="0"/>
      <w:marTop w:val="0"/>
      <w:marBottom w:val="0"/>
      <w:divBdr>
        <w:top w:val="none" w:sz="0" w:space="0" w:color="auto"/>
        <w:left w:val="none" w:sz="0" w:space="0" w:color="auto"/>
        <w:bottom w:val="none" w:sz="0" w:space="0" w:color="auto"/>
        <w:right w:val="none" w:sz="0" w:space="0" w:color="auto"/>
      </w:divBdr>
      <w:divsChild>
        <w:div w:id="1464079588">
          <w:marLeft w:val="0"/>
          <w:marRight w:val="0"/>
          <w:marTop w:val="0"/>
          <w:marBottom w:val="0"/>
          <w:divBdr>
            <w:top w:val="none" w:sz="0" w:space="0" w:color="auto"/>
            <w:left w:val="none" w:sz="0" w:space="0" w:color="auto"/>
            <w:bottom w:val="none" w:sz="0" w:space="0" w:color="auto"/>
            <w:right w:val="none" w:sz="0" w:space="0" w:color="auto"/>
          </w:divBdr>
          <w:divsChild>
            <w:div w:id="1165901794">
              <w:marLeft w:val="0"/>
              <w:marRight w:val="0"/>
              <w:marTop w:val="0"/>
              <w:marBottom w:val="0"/>
              <w:divBdr>
                <w:top w:val="none" w:sz="0" w:space="0" w:color="auto"/>
                <w:left w:val="none" w:sz="0" w:space="0" w:color="auto"/>
                <w:bottom w:val="none" w:sz="0" w:space="0" w:color="auto"/>
                <w:right w:val="none" w:sz="0" w:space="0" w:color="auto"/>
              </w:divBdr>
            </w:div>
          </w:divsChild>
        </w:div>
        <w:div w:id="990712112">
          <w:marLeft w:val="0"/>
          <w:marRight w:val="0"/>
          <w:marTop w:val="0"/>
          <w:marBottom w:val="0"/>
          <w:divBdr>
            <w:top w:val="none" w:sz="0" w:space="0" w:color="auto"/>
            <w:left w:val="none" w:sz="0" w:space="0" w:color="auto"/>
            <w:bottom w:val="none" w:sz="0" w:space="0" w:color="auto"/>
            <w:right w:val="none" w:sz="0" w:space="0" w:color="auto"/>
          </w:divBdr>
          <w:divsChild>
            <w:div w:id="1915628265">
              <w:marLeft w:val="0"/>
              <w:marRight w:val="0"/>
              <w:marTop w:val="0"/>
              <w:marBottom w:val="0"/>
              <w:divBdr>
                <w:top w:val="none" w:sz="0" w:space="0" w:color="auto"/>
                <w:left w:val="none" w:sz="0" w:space="0" w:color="auto"/>
                <w:bottom w:val="none" w:sz="0" w:space="0" w:color="auto"/>
                <w:right w:val="none" w:sz="0" w:space="0" w:color="auto"/>
              </w:divBdr>
            </w:div>
          </w:divsChild>
        </w:div>
        <w:div w:id="563298657">
          <w:marLeft w:val="0"/>
          <w:marRight w:val="0"/>
          <w:marTop w:val="0"/>
          <w:marBottom w:val="0"/>
          <w:divBdr>
            <w:top w:val="none" w:sz="0" w:space="0" w:color="auto"/>
            <w:left w:val="none" w:sz="0" w:space="0" w:color="auto"/>
            <w:bottom w:val="none" w:sz="0" w:space="0" w:color="auto"/>
            <w:right w:val="none" w:sz="0" w:space="0" w:color="auto"/>
          </w:divBdr>
          <w:divsChild>
            <w:div w:id="1871649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012371">
      <w:bodyDiv w:val="1"/>
      <w:marLeft w:val="0"/>
      <w:marRight w:val="0"/>
      <w:marTop w:val="0"/>
      <w:marBottom w:val="0"/>
      <w:divBdr>
        <w:top w:val="none" w:sz="0" w:space="0" w:color="auto"/>
        <w:left w:val="none" w:sz="0" w:space="0" w:color="auto"/>
        <w:bottom w:val="none" w:sz="0" w:space="0" w:color="auto"/>
        <w:right w:val="none" w:sz="0" w:space="0" w:color="auto"/>
      </w:divBdr>
    </w:div>
    <w:div w:id="1094866313">
      <w:bodyDiv w:val="1"/>
      <w:marLeft w:val="0"/>
      <w:marRight w:val="0"/>
      <w:marTop w:val="0"/>
      <w:marBottom w:val="0"/>
      <w:divBdr>
        <w:top w:val="none" w:sz="0" w:space="0" w:color="auto"/>
        <w:left w:val="none" w:sz="0" w:space="0" w:color="auto"/>
        <w:bottom w:val="none" w:sz="0" w:space="0" w:color="auto"/>
        <w:right w:val="none" w:sz="0" w:space="0" w:color="auto"/>
      </w:divBdr>
    </w:div>
    <w:div w:id="1159426227">
      <w:bodyDiv w:val="1"/>
      <w:marLeft w:val="0"/>
      <w:marRight w:val="0"/>
      <w:marTop w:val="0"/>
      <w:marBottom w:val="0"/>
      <w:divBdr>
        <w:top w:val="none" w:sz="0" w:space="0" w:color="auto"/>
        <w:left w:val="none" w:sz="0" w:space="0" w:color="auto"/>
        <w:bottom w:val="none" w:sz="0" w:space="0" w:color="auto"/>
        <w:right w:val="none" w:sz="0" w:space="0" w:color="auto"/>
      </w:divBdr>
    </w:div>
    <w:div w:id="1176386547">
      <w:bodyDiv w:val="1"/>
      <w:marLeft w:val="0"/>
      <w:marRight w:val="0"/>
      <w:marTop w:val="0"/>
      <w:marBottom w:val="0"/>
      <w:divBdr>
        <w:top w:val="none" w:sz="0" w:space="0" w:color="auto"/>
        <w:left w:val="none" w:sz="0" w:space="0" w:color="auto"/>
        <w:bottom w:val="none" w:sz="0" w:space="0" w:color="auto"/>
        <w:right w:val="none" w:sz="0" w:space="0" w:color="auto"/>
      </w:divBdr>
    </w:div>
    <w:div w:id="1177966579">
      <w:bodyDiv w:val="1"/>
      <w:marLeft w:val="0"/>
      <w:marRight w:val="0"/>
      <w:marTop w:val="0"/>
      <w:marBottom w:val="0"/>
      <w:divBdr>
        <w:top w:val="none" w:sz="0" w:space="0" w:color="auto"/>
        <w:left w:val="none" w:sz="0" w:space="0" w:color="auto"/>
        <w:bottom w:val="none" w:sz="0" w:space="0" w:color="auto"/>
        <w:right w:val="none" w:sz="0" w:space="0" w:color="auto"/>
      </w:divBdr>
    </w:div>
    <w:div w:id="1217863323">
      <w:bodyDiv w:val="1"/>
      <w:marLeft w:val="0"/>
      <w:marRight w:val="0"/>
      <w:marTop w:val="0"/>
      <w:marBottom w:val="0"/>
      <w:divBdr>
        <w:top w:val="none" w:sz="0" w:space="0" w:color="auto"/>
        <w:left w:val="none" w:sz="0" w:space="0" w:color="auto"/>
        <w:bottom w:val="none" w:sz="0" w:space="0" w:color="auto"/>
        <w:right w:val="none" w:sz="0" w:space="0" w:color="auto"/>
      </w:divBdr>
    </w:div>
    <w:div w:id="1223174509">
      <w:bodyDiv w:val="1"/>
      <w:marLeft w:val="0"/>
      <w:marRight w:val="0"/>
      <w:marTop w:val="0"/>
      <w:marBottom w:val="0"/>
      <w:divBdr>
        <w:top w:val="none" w:sz="0" w:space="0" w:color="auto"/>
        <w:left w:val="none" w:sz="0" w:space="0" w:color="auto"/>
        <w:bottom w:val="none" w:sz="0" w:space="0" w:color="auto"/>
        <w:right w:val="none" w:sz="0" w:space="0" w:color="auto"/>
      </w:divBdr>
    </w:div>
    <w:div w:id="1228492806">
      <w:bodyDiv w:val="1"/>
      <w:marLeft w:val="0"/>
      <w:marRight w:val="0"/>
      <w:marTop w:val="0"/>
      <w:marBottom w:val="0"/>
      <w:divBdr>
        <w:top w:val="none" w:sz="0" w:space="0" w:color="auto"/>
        <w:left w:val="none" w:sz="0" w:space="0" w:color="auto"/>
        <w:bottom w:val="none" w:sz="0" w:space="0" w:color="auto"/>
        <w:right w:val="none" w:sz="0" w:space="0" w:color="auto"/>
      </w:divBdr>
    </w:div>
    <w:div w:id="1284653349">
      <w:bodyDiv w:val="1"/>
      <w:marLeft w:val="0"/>
      <w:marRight w:val="0"/>
      <w:marTop w:val="0"/>
      <w:marBottom w:val="0"/>
      <w:divBdr>
        <w:top w:val="none" w:sz="0" w:space="0" w:color="auto"/>
        <w:left w:val="none" w:sz="0" w:space="0" w:color="auto"/>
        <w:bottom w:val="none" w:sz="0" w:space="0" w:color="auto"/>
        <w:right w:val="none" w:sz="0" w:space="0" w:color="auto"/>
      </w:divBdr>
    </w:div>
    <w:div w:id="1309940616">
      <w:bodyDiv w:val="1"/>
      <w:marLeft w:val="0"/>
      <w:marRight w:val="0"/>
      <w:marTop w:val="0"/>
      <w:marBottom w:val="0"/>
      <w:divBdr>
        <w:top w:val="none" w:sz="0" w:space="0" w:color="auto"/>
        <w:left w:val="none" w:sz="0" w:space="0" w:color="auto"/>
        <w:bottom w:val="none" w:sz="0" w:space="0" w:color="auto"/>
        <w:right w:val="none" w:sz="0" w:space="0" w:color="auto"/>
      </w:divBdr>
    </w:div>
    <w:div w:id="1323854713">
      <w:bodyDiv w:val="1"/>
      <w:marLeft w:val="0"/>
      <w:marRight w:val="0"/>
      <w:marTop w:val="0"/>
      <w:marBottom w:val="0"/>
      <w:divBdr>
        <w:top w:val="none" w:sz="0" w:space="0" w:color="auto"/>
        <w:left w:val="none" w:sz="0" w:space="0" w:color="auto"/>
        <w:bottom w:val="none" w:sz="0" w:space="0" w:color="auto"/>
        <w:right w:val="none" w:sz="0" w:space="0" w:color="auto"/>
      </w:divBdr>
    </w:div>
    <w:div w:id="1343170445">
      <w:bodyDiv w:val="1"/>
      <w:marLeft w:val="0"/>
      <w:marRight w:val="0"/>
      <w:marTop w:val="0"/>
      <w:marBottom w:val="0"/>
      <w:divBdr>
        <w:top w:val="none" w:sz="0" w:space="0" w:color="auto"/>
        <w:left w:val="none" w:sz="0" w:space="0" w:color="auto"/>
        <w:bottom w:val="none" w:sz="0" w:space="0" w:color="auto"/>
        <w:right w:val="none" w:sz="0" w:space="0" w:color="auto"/>
      </w:divBdr>
    </w:div>
    <w:div w:id="1522283264">
      <w:bodyDiv w:val="1"/>
      <w:marLeft w:val="0"/>
      <w:marRight w:val="0"/>
      <w:marTop w:val="0"/>
      <w:marBottom w:val="0"/>
      <w:divBdr>
        <w:top w:val="none" w:sz="0" w:space="0" w:color="auto"/>
        <w:left w:val="none" w:sz="0" w:space="0" w:color="auto"/>
        <w:bottom w:val="none" w:sz="0" w:space="0" w:color="auto"/>
        <w:right w:val="none" w:sz="0" w:space="0" w:color="auto"/>
      </w:divBdr>
    </w:div>
    <w:div w:id="1632440417">
      <w:bodyDiv w:val="1"/>
      <w:marLeft w:val="0"/>
      <w:marRight w:val="0"/>
      <w:marTop w:val="0"/>
      <w:marBottom w:val="0"/>
      <w:divBdr>
        <w:top w:val="none" w:sz="0" w:space="0" w:color="auto"/>
        <w:left w:val="none" w:sz="0" w:space="0" w:color="auto"/>
        <w:bottom w:val="none" w:sz="0" w:space="0" w:color="auto"/>
        <w:right w:val="none" w:sz="0" w:space="0" w:color="auto"/>
      </w:divBdr>
    </w:div>
    <w:div w:id="1672413217">
      <w:bodyDiv w:val="1"/>
      <w:marLeft w:val="0"/>
      <w:marRight w:val="0"/>
      <w:marTop w:val="0"/>
      <w:marBottom w:val="0"/>
      <w:divBdr>
        <w:top w:val="none" w:sz="0" w:space="0" w:color="auto"/>
        <w:left w:val="none" w:sz="0" w:space="0" w:color="auto"/>
        <w:bottom w:val="none" w:sz="0" w:space="0" w:color="auto"/>
        <w:right w:val="none" w:sz="0" w:space="0" w:color="auto"/>
      </w:divBdr>
    </w:div>
    <w:div w:id="1694649195">
      <w:bodyDiv w:val="1"/>
      <w:marLeft w:val="0"/>
      <w:marRight w:val="0"/>
      <w:marTop w:val="0"/>
      <w:marBottom w:val="0"/>
      <w:divBdr>
        <w:top w:val="none" w:sz="0" w:space="0" w:color="auto"/>
        <w:left w:val="none" w:sz="0" w:space="0" w:color="auto"/>
        <w:bottom w:val="none" w:sz="0" w:space="0" w:color="auto"/>
        <w:right w:val="none" w:sz="0" w:space="0" w:color="auto"/>
      </w:divBdr>
    </w:div>
    <w:div w:id="1712221182">
      <w:bodyDiv w:val="1"/>
      <w:marLeft w:val="0"/>
      <w:marRight w:val="0"/>
      <w:marTop w:val="0"/>
      <w:marBottom w:val="0"/>
      <w:divBdr>
        <w:top w:val="none" w:sz="0" w:space="0" w:color="auto"/>
        <w:left w:val="none" w:sz="0" w:space="0" w:color="auto"/>
        <w:bottom w:val="none" w:sz="0" w:space="0" w:color="auto"/>
        <w:right w:val="none" w:sz="0" w:space="0" w:color="auto"/>
      </w:divBdr>
    </w:div>
    <w:div w:id="1747069005">
      <w:bodyDiv w:val="1"/>
      <w:marLeft w:val="0"/>
      <w:marRight w:val="0"/>
      <w:marTop w:val="0"/>
      <w:marBottom w:val="0"/>
      <w:divBdr>
        <w:top w:val="none" w:sz="0" w:space="0" w:color="auto"/>
        <w:left w:val="none" w:sz="0" w:space="0" w:color="auto"/>
        <w:bottom w:val="none" w:sz="0" w:space="0" w:color="auto"/>
        <w:right w:val="none" w:sz="0" w:space="0" w:color="auto"/>
      </w:divBdr>
    </w:div>
    <w:div w:id="1766222050">
      <w:bodyDiv w:val="1"/>
      <w:marLeft w:val="0"/>
      <w:marRight w:val="0"/>
      <w:marTop w:val="0"/>
      <w:marBottom w:val="0"/>
      <w:divBdr>
        <w:top w:val="none" w:sz="0" w:space="0" w:color="auto"/>
        <w:left w:val="none" w:sz="0" w:space="0" w:color="auto"/>
        <w:bottom w:val="none" w:sz="0" w:space="0" w:color="auto"/>
        <w:right w:val="none" w:sz="0" w:space="0" w:color="auto"/>
      </w:divBdr>
    </w:div>
    <w:div w:id="1775435833">
      <w:bodyDiv w:val="1"/>
      <w:marLeft w:val="0"/>
      <w:marRight w:val="0"/>
      <w:marTop w:val="0"/>
      <w:marBottom w:val="0"/>
      <w:divBdr>
        <w:top w:val="none" w:sz="0" w:space="0" w:color="auto"/>
        <w:left w:val="none" w:sz="0" w:space="0" w:color="auto"/>
        <w:bottom w:val="none" w:sz="0" w:space="0" w:color="auto"/>
        <w:right w:val="none" w:sz="0" w:space="0" w:color="auto"/>
      </w:divBdr>
    </w:div>
    <w:div w:id="1791194741">
      <w:bodyDiv w:val="1"/>
      <w:marLeft w:val="0"/>
      <w:marRight w:val="0"/>
      <w:marTop w:val="0"/>
      <w:marBottom w:val="0"/>
      <w:divBdr>
        <w:top w:val="none" w:sz="0" w:space="0" w:color="auto"/>
        <w:left w:val="none" w:sz="0" w:space="0" w:color="auto"/>
        <w:bottom w:val="none" w:sz="0" w:space="0" w:color="auto"/>
        <w:right w:val="none" w:sz="0" w:space="0" w:color="auto"/>
      </w:divBdr>
    </w:div>
    <w:div w:id="1892306360">
      <w:bodyDiv w:val="1"/>
      <w:marLeft w:val="0"/>
      <w:marRight w:val="0"/>
      <w:marTop w:val="0"/>
      <w:marBottom w:val="0"/>
      <w:divBdr>
        <w:top w:val="none" w:sz="0" w:space="0" w:color="auto"/>
        <w:left w:val="none" w:sz="0" w:space="0" w:color="auto"/>
        <w:bottom w:val="none" w:sz="0" w:space="0" w:color="auto"/>
        <w:right w:val="none" w:sz="0" w:space="0" w:color="auto"/>
      </w:divBdr>
      <w:divsChild>
        <w:div w:id="1573000722">
          <w:marLeft w:val="0"/>
          <w:marRight w:val="0"/>
          <w:marTop w:val="0"/>
          <w:marBottom w:val="0"/>
          <w:divBdr>
            <w:top w:val="none" w:sz="0" w:space="0" w:color="auto"/>
            <w:left w:val="none" w:sz="0" w:space="0" w:color="auto"/>
            <w:bottom w:val="none" w:sz="0" w:space="0" w:color="auto"/>
            <w:right w:val="none" w:sz="0" w:space="0" w:color="auto"/>
          </w:divBdr>
          <w:divsChild>
            <w:div w:id="1021129320">
              <w:marLeft w:val="0"/>
              <w:marRight w:val="0"/>
              <w:marTop w:val="0"/>
              <w:marBottom w:val="0"/>
              <w:divBdr>
                <w:top w:val="none" w:sz="0" w:space="0" w:color="auto"/>
                <w:left w:val="none" w:sz="0" w:space="0" w:color="auto"/>
                <w:bottom w:val="none" w:sz="0" w:space="0" w:color="auto"/>
                <w:right w:val="none" w:sz="0" w:space="0" w:color="auto"/>
              </w:divBdr>
            </w:div>
          </w:divsChild>
        </w:div>
        <w:div w:id="2092117141">
          <w:marLeft w:val="0"/>
          <w:marRight w:val="0"/>
          <w:marTop w:val="0"/>
          <w:marBottom w:val="0"/>
          <w:divBdr>
            <w:top w:val="none" w:sz="0" w:space="0" w:color="auto"/>
            <w:left w:val="none" w:sz="0" w:space="0" w:color="auto"/>
            <w:bottom w:val="none" w:sz="0" w:space="0" w:color="auto"/>
            <w:right w:val="none" w:sz="0" w:space="0" w:color="auto"/>
          </w:divBdr>
          <w:divsChild>
            <w:div w:id="897011911">
              <w:marLeft w:val="0"/>
              <w:marRight w:val="0"/>
              <w:marTop w:val="0"/>
              <w:marBottom w:val="0"/>
              <w:divBdr>
                <w:top w:val="none" w:sz="0" w:space="0" w:color="auto"/>
                <w:left w:val="none" w:sz="0" w:space="0" w:color="auto"/>
                <w:bottom w:val="none" w:sz="0" w:space="0" w:color="auto"/>
                <w:right w:val="none" w:sz="0" w:space="0" w:color="auto"/>
              </w:divBdr>
            </w:div>
          </w:divsChild>
        </w:div>
        <w:div w:id="1828283186">
          <w:marLeft w:val="0"/>
          <w:marRight w:val="0"/>
          <w:marTop w:val="0"/>
          <w:marBottom w:val="0"/>
          <w:divBdr>
            <w:top w:val="none" w:sz="0" w:space="0" w:color="auto"/>
            <w:left w:val="none" w:sz="0" w:space="0" w:color="auto"/>
            <w:bottom w:val="none" w:sz="0" w:space="0" w:color="auto"/>
            <w:right w:val="none" w:sz="0" w:space="0" w:color="auto"/>
          </w:divBdr>
          <w:divsChild>
            <w:div w:id="1559972345">
              <w:marLeft w:val="0"/>
              <w:marRight w:val="0"/>
              <w:marTop w:val="0"/>
              <w:marBottom w:val="0"/>
              <w:divBdr>
                <w:top w:val="none" w:sz="0" w:space="0" w:color="auto"/>
                <w:left w:val="none" w:sz="0" w:space="0" w:color="auto"/>
                <w:bottom w:val="none" w:sz="0" w:space="0" w:color="auto"/>
                <w:right w:val="none" w:sz="0" w:space="0" w:color="auto"/>
              </w:divBdr>
            </w:div>
          </w:divsChild>
        </w:div>
        <w:div w:id="2072457455">
          <w:marLeft w:val="0"/>
          <w:marRight w:val="0"/>
          <w:marTop w:val="0"/>
          <w:marBottom w:val="0"/>
          <w:divBdr>
            <w:top w:val="none" w:sz="0" w:space="0" w:color="auto"/>
            <w:left w:val="none" w:sz="0" w:space="0" w:color="auto"/>
            <w:bottom w:val="none" w:sz="0" w:space="0" w:color="auto"/>
            <w:right w:val="none" w:sz="0" w:space="0" w:color="auto"/>
          </w:divBdr>
          <w:divsChild>
            <w:div w:id="724566323">
              <w:marLeft w:val="0"/>
              <w:marRight w:val="0"/>
              <w:marTop w:val="0"/>
              <w:marBottom w:val="0"/>
              <w:divBdr>
                <w:top w:val="none" w:sz="0" w:space="0" w:color="auto"/>
                <w:left w:val="none" w:sz="0" w:space="0" w:color="auto"/>
                <w:bottom w:val="none" w:sz="0" w:space="0" w:color="auto"/>
                <w:right w:val="none" w:sz="0" w:space="0" w:color="auto"/>
              </w:divBdr>
            </w:div>
          </w:divsChild>
        </w:div>
        <w:div w:id="379944507">
          <w:marLeft w:val="0"/>
          <w:marRight w:val="0"/>
          <w:marTop w:val="0"/>
          <w:marBottom w:val="0"/>
          <w:divBdr>
            <w:top w:val="none" w:sz="0" w:space="0" w:color="auto"/>
            <w:left w:val="none" w:sz="0" w:space="0" w:color="auto"/>
            <w:bottom w:val="none" w:sz="0" w:space="0" w:color="auto"/>
            <w:right w:val="none" w:sz="0" w:space="0" w:color="auto"/>
          </w:divBdr>
          <w:divsChild>
            <w:div w:id="1243300325">
              <w:marLeft w:val="0"/>
              <w:marRight w:val="0"/>
              <w:marTop w:val="0"/>
              <w:marBottom w:val="0"/>
              <w:divBdr>
                <w:top w:val="none" w:sz="0" w:space="0" w:color="auto"/>
                <w:left w:val="none" w:sz="0" w:space="0" w:color="auto"/>
                <w:bottom w:val="none" w:sz="0" w:space="0" w:color="auto"/>
                <w:right w:val="none" w:sz="0" w:space="0" w:color="auto"/>
              </w:divBdr>
            </w:div>
          </w:divsChild>
        </w:div>
        <w:div w:id="2072149080">
          <w:marLeft w:val="0"/>
          <w:marRight w:val="0"/>
          <w:marTop w:val="0"/>
          <w:marBottom w:val="0"/>
          <w:divBdr>
            <w:top w:val="none" w:sz="0" w:space="0" w:color="auto"/>
            <w:left w:val="none" w:sz="0" w:space="0" w:color="auto"/>
            <w:bottom w:val="none" w:sz="0" w:space="0" w:color="auto"/>
            <w:right w:val="none" w:sz="0" w:space="0" w:color="auto"/>
          </w:divBdr>
          <w:divsChild>
            <w:div w:id="112624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989646">
      <w:bodyDiv w:val="1"/>
      <w:marLeft w:val="0"/>
      <w:marRight w:val="0"/>
      <w:marTop w:val="0"/>
      <w:marBottom w:val="0"/>
      <w:divBdr>
        <w:top w:val="none" w:sz="0" w:space="0" w:color="auto"/>
        <w:left w:val="none" w:sz="0" w:space="0" w:color="auto"/>
        <w:bottom w:val="none" w:sz="0" w:space="0" w:color="auto"/>
        <w:right w:val="none" w:sz="0" w:space="0" w:color="auto"/>
      </w:divBdr>
    </w:div>
    <w:div w:id="1953317018">
      <w:bodyDiv w:val="1"/>
      <w:marLeft w:val="0"/>
      <w:marRight w:val="0"/>
      <w:marTop w:val="0"/>
      <w:marBottom w:val="0"/>
      <w:divBdr>
        <w:top w:val="none" w:sz="0" w:space="0" w:color="auto"/>
        <w:left w:val="none" w:sz="0" w:space="0" w:color="auto"/>
        <w:bottom w:val="none" w:sz="0" w:space="0" w:color="auto"/>
        <w:right w:val="none" w:sz="0" w:space="0" w:color="auto"/>
      </w:divBdr>
    </w:div>
    <w:div w:id="2002736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39F8D6-1ABE-4A2A-99EA-E192A998E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24972</TotalTime>
  <Pages>31</Pages>
  <Words>8136</Words>
  <Characters>46378</Characters>
  <Application>Microsoft Office Word</Application>
  <DocSecurity>0</DocSecurity>
  <Lines>386</Lines>
  <Paragraphs>108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54406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 dong-jin</dc:creator>
  <cp:keywords/>
  <dc:description/>
  <cp:lastModifiedBy>Jeonghyeok Moon</cp:lastModifiedBy>
  <cp:revision>738</cp:revision>
  <cp:lastPrinted>2022-10-05T08:31:00Z</cp:lastPrinted>
  <dcterms:created xsi:type="dcterms:W3CDTF">2022-10-05T14:04:00Z</dcterms:created>
  <dcterms:modified xsi:type="dcterms:W3CDTF">2026-05-22T18:55:00Z</dcterms:modified>
</cp:coreProperties>
</file>